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8A351">
      <w:pPr>
        <w:pStyle w:val="19"/>
        <w:snapToGrid w:val="0"/>
        <w:spacing w:line="480" w:lineRule="auto"/>
        <w:ind w:left="31" w:leftChars="15" w:right="0" w:firstLine="0" w:firstLineChars="0"/>
        <w:jc w:val="center"/>
        <w:rPr>
          <w:rFonts w:hint="eastAsia" w:ascii="宋体" w:hAnsi="宋体" w:eastAsia="宋体"/>
          <w:b/>
          <w:color w:val="auto"/>
          <w:sz w:val="48"/>
          <w:szCs w:val="48"/>
          <w:highlight w:val="none"/>
        </w:rPr>
      </w:pPr>
    </w:p>
    <w:p w14:paraId="69CCF6A0">
      <w:pPr>
        <w:autoSpaceDE w:val="0"/>
        <w:autoSpaceDN w:val="0"/>
        <w:adjustRightInd w:val="0"/>
        <w:snapToGrid w:val="0"/>
        <w:spacing w:line="360" w:lineRule="auto"/>
        <w:jc w:val="center"/>
        <w:rPr>
          <w:rFonts w:ascii="宋体" w:hAnsi="宋体"/>
          <w:color w:val="auto"/>
          <w:kern w:val="0"/>
          <w:sz w:val="20"/>
          <w:szCs w:val="20"/>
          <w:highlight w:val="none"/>
        </w:rPr>
      </w:pPr>
      <w:bookmarkStart w:id="0" w:name="_Toc287620665"/>
      <w:r>
        <w:rPr>
          <w:rFonts w:hint="eastAsia" w:ascii="宋体" w:hAnsi="宋体"/>
          <w:color w:val="auto"/>
          <w:kern w:val="0"/>
          <w:sz w:val="32"/>
          <w:szCs w:val="32"/>
          <w:highlight w:val="none"/>
          <w:lang w:val="zh-CN"/>
        </w:rPr>
        <w:t>五洲世纪文化创意中心第13、14层改造项目</w:t>
      </w:r>
    </w:p>
    <w:p w14:paraId="2B4234E2">
      <w:pPr>
        <w:autoSpaceDE w:val="0"/>
        <w:autoSpaceDN w:val="0"/>
        <w:adjustRightInd w:val="0"/>
        <w:snapToGrid w:val="0"/>
        <w:spacing w:line="360" w:lineRule="auto"/>
        <w:jc w:val="left"/>
        <w:rPr>
          <w:rFonts w:ascii="宋体" w:hAnsi="宋体"/>
          <w:color w:val="auto"/>
          <w:kern w:val="0"/>
          <w:sz w:val="20"/>
          <w:szCs w:val="20"/>
          <w:highlight w:val="none"/>
        </w:rPr>
      </w:pPr>
    </w:p>
    <w:p w14:paraId="1E8685AC">
      <w:pPr>
        <w:autoSpaceDE w:val="0"/>
        <w:autoSpaceDN w:val="0"/>
        <w:adjustRightInd w:val="0"/>
        <w:snapToGrid w:val="0"/>
        <w:spacing w:line="360" w:lineRule="auto"/>
        <w:jc w:val="left"/>
        <w:rPr>
          <w:rFonts w:ascii="宋体" w:hAnsi="宋体"/>
          <w:color w:val="auto"/>
          <w:kern w:val="0"/>
          <w:sz w:val="20"/>
          <w:szCs w:val="20"/>
          <w:highlight w:val="none"/>
        </w:rPr>
      </w:pPr>
    </w:p>
    <w:p w14:paraId="669CC86A">
      <w:pPr>
        <w:autoSpaceDE w:val="0"/>
        <w:autoSpaceDN w:val="0"/>
        <w:adjustRightInd w:val="0"/>
        <w:snapToGrid w:val="0"/>
        <w:spacing w:line="360" w:lineRule="auto"/>
        <w:jc w:val="left"/>
        <w:rPr>
          <w:rFonts w:ascii="宋体" w:hAnsi="宋体"/>
          <w:color w:val="auto"/>
          <w:kern w:val="0"/>
          <w:sz w:val="20"/>
          <w:szCs w:val="20"/>
          <w:highlight w:val="none"/>
        </w:rPr>
      </w:pPr>
    </w:p>
    <w:p w14:paraId="0E141FD1">
      <w:pPr>
        <w:autoSpaceDE w:val="0"/>
        <w:autoSpaceDN w:val="0"/>
        <w:adjustRightInd w:val="0"/>
        <w:snapToGrid w:val="0"/>
        <w:spacing w:line="360" w:lineRule="auto"/>
        <w:jc w:val="left"/>
        <w:rPr>
          <w:rFonts w:ascii="宋体" w:hAnsi="宋体"/>
          <w:color w:val="auto"/>
          <w:kern w:val="0"/>
          <w:sz w:val="20"/>
          <w:szCs w:val="20"/>
          <w:highlight w:val="none"/>
        </w:rPr>
      </w:pPr>
    </w:p>
    <w:p w14:paraId="465F94F2">
      <w:pPr>
        <w:autoSpaceDE w:val="0"/>
        <w:autoSpaceDN w:val="0"/>
        <w:adjustRightInd w:val="0"/>
        <w:snapToGrid w:val="0"/>
        <w:spacing w:line="360" w:lineRule="auto"/>
        <w:jc w:val="left"/>
        <w:rPr>
          <w:rFonts w:ascii="宋体" w:hAnsi="宋体"/>
          <w:color w:val="auto"/>
          <w:kern w:val="0"/>
          <w:sz w:val="20"/>
          <w:szCs w:val="20"/>
          <w:highlight w:val="none"/>
        </w:rPr>
      </w:pPr>
    </w:p>
    <w:p w14:paraId="50F22E39">
      <w:pPr>
        <w:autoSpaceDE w:val="0"/>
        <w:autoSpaceDN w:val="0"/>
        <w:adjustRightInd w:val="0"/>
        <w:snapToGrid w:val="0"/>
        <w:spacing w:line="360" w:lineRule="auto"/>
        <w:jc w:val="center"/>
        <w:rPr>
          <w:rFonts w:ascii="宋体" w:hAnsi="宋体"/>
          <w:color w:val="auto"/>
          <w:kern w:val="0"/>
          <w:sz w:val="72"/>
          <w:szCs w:val="72"/>
          <w:highlight w:val="none"/>
        </w:rPr>
      </w:pPr>
      <w:r>
        <w:rPr>
          <w:rFonts w:ascii="宋体" w:hAnsi="宋体"/>
          <w:color w:val="auto"/>
          <w:kern w:val="0"/>
          <w:sz w:val="72"/>
          <w:szCs w:val="72"/>
          <w:highlight w:val="none"/>
        </w:rPr>
        <w:t>施</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工</w:t>
      </w:r>
      <w:r>
        <w:rPr>
          <w:rFonts w:hint="eastAsia" w:ascii="宋体" w:hAnsi="宋体"/>
          <w:color w:val="auto"/>
          <w:kern w:val="0"/>
          <w:sz w:val="72"/>
          <w:szCs w:val="72"/>
          <w:highlight w:val="none"/>
        </w:rPr>
        <w:t xml:space="preserve"> 比 选 </w:t>
      </w:r>
      <w:r>
        <w:rPr>
          <w:rFonts w:ascii="宋体" w:hAnsi="宋体"/>
          <w:color w:val="auto"/>
          <w:kern w:val="0"/>
          <w:sz w:val="72"/>
          <w:szCs w:val="72"/>
          <w:highlight w:val="none"/>
        </w:rPr>
        <w:t>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件</w:t>
      </w:r>
    </w:p>
    <w:p w14:paraId="2CBB04E4">
      <w:pPr>
        <w:autoSpaceDE w:val="0"/>
        <w:autoSpaceDN w:val="0"/>
        <w:adjustRightInd w:val="0"/>
        <w:snapToGrid w:val="0"/>
        <w:spacing w:line="360" w:lineRule="auto"/>
        <w:jc w:val="left"/>
        <w:rPr>
          <w:rFonts w:ascii="宋体" w:hAnsi="宋体"/>
          <w:color w:val="auto"/>
          <w:kern w:val="0"/>
          <w:sz w:val="10"/>
          <w:szCs w:val="10"/>
          <w:highlight w:val="none"/>
        </w:rPr>
      </w:pPr>
    </w:p>
    <w:p w14:paraId="08D6FC0E">
      <w:pPr>
        <w:autoSpaceDE w:val="0"/>
        <w:autoSpaceDN w:val="0"/>
        <w:adjustRightInd w:val="0"/>
        <w:snapToGrid w:val="0"/>
        <w:spacing w:line="360" w:lineRule="auto"/>
        <w:jc w:val="left"/>
        <w:rPr>
          <w:rFonts w:ascii="宋体" w:hAnsi="宋体"/>
          <w:color w:val="auto"/>
          <w:kern w:val="0"/>
          <w:sz w:val="20"/>
          <w:szCs w:val="20"/>
          <w:highlight w:val="none"/>
        </w:rPr>
      </w:pPr>
    </w:p>
    <w:p w14:paraId="56C5FB19">
      <w:pPr>
        <w:autoSpaceDE w:val="0"/>
        <w:autoSpaceDN w:val="0"/>
        <w:adjustRightInd w:val="0"/>
        <w:snapToGrid w:val="0"/>
        <w:spacing w:line="360" w:lineRule="auto"/>
        <w:jc w:val="left"/>
        <w:rPr>
          <w:rFonts w:ascii="宋体" w:hAnsi="宋体"/>
          <w:color w:val="auto"/>
          <w:kern w:val="0"/>
          <w:sz w:val="20"/>
          <w:szCs w:val="20"/>
          <w:highlight w:val="none"/>
        </w:rPr>
      </w:pPr>
    </w:p>
    <w:p w14:paraId="34BE2F2F">
      <w:pPr>
        <w:autoSpaceDE w:val="0"/>
        <w:autoSpaceDN w:val="0"/>
        <w:adjustRightInd w:val="0"/>
        <w:snapToGrid w:val="0"/>
        <w:spacing w:line="360" w:lineRule="auto"/>
        <w:jc w:val="left"/>
        <w:rPr>
          <w:rFonts w:ascii="宋体" w:hAnsi="宋体"/>
          <w:color w:val="auto"/>
          <w:kern w:val="0"/>
          <w:sz w:val="20"/>
          <w:szCs w:val="20"/>
          <w:highlight w:val="none"/>
        </w:rPr>
      </w:pPr>
    </w:p>
    <w:p w14:paraId="09946049">
      <w:pPr>
        <w:autoSpaceDE w:val="0"/>
        <w:autoSpaceDN w:val="0"/>
        <w:adjustRightInd w:val="0"/>
        <w:snapToGrid w:val="0"/>
        <w:spacing w:line="360" w:lineRule="auto"/>
        <w:jc w:val="left"/>
        <w:rPr>
          <w:rFonts w:ascii="宋体" w:hAnsi="宋体"/>
          <w:color w:val="auto"/>
          <w:kern w:val="0"/>
          <w:sz w:val="20"/>
          <w:szCs w:val="20"/>
          <w:highlight w:val="none"/>
        </w:rPr>
      </w:pPr>
    </w:p>
    <w:p w14:paraId="5E223E46">
      <w:pPr>
        <w:autoSpaceDE w:val="0"/>
        <w:autoSpaceDN w:val="0"/>
        <w:adjustRightInd w:val="0"/>
        <w:snapToGrid w:val="0"/>
        <w:spacing w:line="360" w:lineRule="auto"/>
        <w:jc w:val="left"/>
        <w:rPr>
          <w:rFonts w:ascii="宋体" w:hAnsi="宋体"/>
          <w:color w:val="auto"/>
          <w:kern w:val="0"/>
          <w:sz w:val="20"/>
          <w:szCs w:val="20"/>
          <w:highlight w:val="none"/>
        </w:rPr>
      </w:pPr>
    </w:p>
    <w:p w14:paraId="24605CA6">
      <w:pPr>
        <w:autoSpaceDE w:val="0"/>
        <w:autoSpaceDN w:val="0"/>
        <w:adjustRightInd w:val="0"/>
        <w:snapToGrid w:val="0"/>
        <w:spacing w:line="360" w:lineRule="auto"/>
        <w:jc w:val="left"/>
        <w:rPr>
          <w:rFonts w:ascii="宋体" w:hAnsi="宋体"/>
          <w:color w:val="auto"/>
          <w:kern w:val="0"/>
          <w:sz w:val="20"/>
          <w:szCs w:val="20"/>
          <w:highlight w:val="none"/>
        </w:rPr>
      </w:pPr>
    </w:p>
    <w:p w14:paraId="6F1C3BA3">
      <w:pPr>
        <w:autoSpaceDE w:val="0"/>
        <w:autoSpaceDN w:val="0"/>
        <w:adjustRightInd w:val="0"/>
        <w:snapToGrid w:val="0"/>
        <w:spacing w:line="360" w:lineRule="auto"/>
        <w:jc w:val="left"/>
        <w:rPr>
          <w:rFonts w:ascii="宋体" w:hAnsi="宋体"/>
          <w:color w:val="auto"/>
          <w:kern w:val="0"/>
          <w:sz w:val="20"/>
          <w:szCs w:val="20"/>
          <w:highlight w:val="none"/>
        </w:rPr>
      </w:pPr>
    </w:p>
    <w:p w14:paraId="0AC2D1E4">
      <w:pPr>
        <w:autoSpaceDE w:val="0"/>
        <w:autoSpaceDN w:val="0"/>
        <w:adjustRightInd w:val="0"/>
        <w:snapToGrid w:val="0"/>
        <w:spacing w:line="360" w:lineRule="auto"/>
        <w:rPr>
          <w:rFonts w:ascii="宋体" w:hAnsi="宋体"/>
          <w:color w:val="auto"/>
          <w:kern w:val="0"/>
          <w:sz w:val="20"/>
          <w:szCs w:val="20"/>
          <w:highlight w:val="none"/>
        </w:rPr>
      </w:pPr>
    </w:p>
    <w:p w14:paraId="7816BB8B">
      <w:pPr>
        <w:autoSpaceDE w:val="0"/>
        <w:autoSpaceDN w:val="0"/>
        <w:adjustRightInd w:val="0"/>
        <w:snapToGrid w:val="0"/>
        <w:spacing w:line="360" w:lineRule="auto"/>
        <w:jc w:val="left"/>
        <w:rPr>
          <w:rFonts w:ascii="宋体" w:hAnsi="宋体"/>
          <w:color w:val="auto"/>
          <w:kern w:val="0"/>
          <w:sz w:val="20"/>
          <w:szCs w:val="20"/>
          <w:highlight w:val="none"/>
        </w:rPr>
      </w:pPr>
    </w:p>
    <w:p w14:paraId="5864BB6C">
      <w:pPr>
        <w:autoSpaceDE w:val="0"/>
        <w:autoSpaceDN w:val="0"/>
        <w:adjustRightInd w:val="0"/>
        <w:snapToGrid w:val="0"/>
        <w:spacing w:line="360" w:lineRule="auto"/>
        <w:rPr>
          <w:rFonts w:ascii="宋体" w:hAnsi="宋体"/>
          <w:color w:val="auto"/>
          <w:kern w:val="0"/>
          <w:sz w:val="20"/>
          <w:szCs w:val="20"/>
          <w:highlight w:val="none"/>
        </w:rPr>
      </w:pPr>
    </w:p>
    <w:p w14:paraId="11AF5151">
      <w:pPr>
        <w:autoSpaceDE w:val="0"/>
        <w:autoSpaceDN w:val="0"/>
        <w:adjustRightInd w:val="0"/>
        <w:snapToGrid w:val="0"/>
        <w:spacing w:line="360" w:lineRule="auto"/>
        <w:rPr>
          <w:rFonts w:ascii="宋体" w:hAnsi="宋体"/>
          <w:color w:val="auto"/>
          <w:kern w:val="0"/>
          <w:sz w:val="20"/>
          <w:szCs w:val="20"/>
          <w:highlight w:val="none"/>
        </w:rPr>
      </w:pPr>
    </w:p>
    <w:p w14:paraId="76654372">
      <w:pPr>
        <w:autoSpaceDE w:val="0"/>
        <w:autoSpaceDN w:val="0"/>
        <w:adjustRightInd w:val="0"/>
        <w:snapToGrid w:val="0"/>
        <w:spacing w:line="360" w:lineRule="auto"/>
        <w:rPr>
          <w:rFonts w:ascii="宋体" w:hAnsi="宋体"/>
          <w:color w:val="auto"/>
          <w:kern w:val="0"/>
          <w:sz w:val="20"/>
          <w:szCs w:val="20"/>
          <w:highlight w:val="none"/>
        </w:rPr>
      </w:pPr>
    </w:p>
    <w:p w14:paraId="3B579D4E">
      <w:pPr>
        <w:tabs>
          <w:tab w:val="left" w:pos="6252"/>
        </w:tabs>
        <w:autoSpaceDE w:val="0"/>
        <w:autoSpaceDN w:val="0"/>
        <w:adjustRightInd w:val="0"/>
        <w:snapToGrid w:val="0"/>
        <w:spacing w:line="360" w:lineRule="auto"/>
        <w:ind w:firstLine="556" w:firstLineChars="200"/>
        <w:rPr>
          <w:rFonts w:ascii="宋体" w:hAnsi="宋体"/>
          <w:b/>
          <w:color w:val="auto"/>
          <w:w w:val="99"/>
          <w:kern w:val="0"/>
          <w:sz w:val="28"/>
          <w:szCs w:val="28"/>
          <w:highlight w:val="none"/>
        </w:rPr>
      </w:pPr>
      <w:r>
        <w:rPr>
          <w:rFonts w:hint="eastAsia" w:ascii="宋体" w:hAnsi="宋体"/>
          <w:b/>
          <w:color w:val="auto"/>
          <w:w w:val="99"/>
          <w:kern w:val="0"/>
          <w:sz w:val="28"/>
          <w:szCs w:val="28"/>
          <w:highlight w:val="none"/>
        </w:rPr>
        <w:t xml:space="preserve">比   选   </w:t>
      </w:r>
      <w:r>
        <w:rPr>
          <w:rFonts w:ascii="宋体" w:hAnsi="宋体"/>
          <w:b/>
          <w:color w:val="auto"/>
          <w:w w:val="99"/>
          <w:kern w:val="0"/>
          <w:sz w:val="28"/>
          <w:szCs w:val="28"/>
          <w:highlight w:val="none"/>
        </w:rPr>
        <w:t>人：</w:t>
      </w:r>
      <w:r>
        <w:rPr>
          <w:rFonts w:hint="eastAsia" w:ascii="宋体" w:hAnsi="宋体"/>
          <w:b/>
          <w:color w:val="auto"/>
          <w:w w:val="99"/>
          <w:kern w:val="0"/>
          <w:sz w:val="28"/>
          <w:szCs w:val="28"/>
          <w:highlight w:val="none"/>
          <w:u w:val="single"/>
        </w:rPr>
        <w:t>重庆九龙半岛开发建设有限公司</w:t>
      </w:r>
      <w:r>
        <w:rPr>
          <w:rFonts w:ascii="宋体" w:hAnsi="宋体"/>
          <w:b/>
          <w:color w:val="auto"/>
          <w:w w:val="99"/>
          <w:kern w:val="0"/>
          <w:sz w:val="28"/>
          <w:szCs w:val="28"/>
          <w:highlight w:val="none"/>
        </w:rPr>
        <w:t>（盖单位法人章）</w:t>
      </w:r>
    </w:p>
    <w:p w14:paraId="16D291BE">
      <w:pPr>
        <w:tabs>
          <w:tab w:val="left" w:pos="6252"/>
        </w:tabs>
        <w:autoSpaceDE w:val="0"/>
        <w:autoSpaceDN w:val="0"/>
        <w:adjustRightInd w:val="0"/>
        <w:snapToGrid w:val="0"/>
        <w:spacing w:line="360" w:lineRule="auto"/>
        <w:ind w:firstLine="556" w:firstLineChars="200"/>
        <w:rPr>
          <w:rFonts w:ascii="宋体" w:hAnsi="宋体"/>
          <w:b/>
          <w:color w:val="auto"/>
          <w:w w:val="99"/>
          <w:kern w:val="0"/>
          <w:sz w:val="28"/>
          <w:szCs w:val="28"/>
          <w:highlight w:val="none"/>
        </w:rPr>
      </w:pPr>
      <w:r>
        <w:rPr>
          <w:rFonts w:hint="eastAsia" w:ascii="宋体" w:hAnsi="宋体"/>
          <w:b/>
          <w:color w:val="auto"/>
          <w:w w:val="99"/>
          <w:kern w:val="0"/>
          <w:sz w:val="28"/>
          <w:szCs w:val="28"/>
          <w:highlight w:val="none"/>
        </w:rPr>
        <w:t>比选</w:t>
      </w:r>
      <w:r>
        <w:rPr>
          <w:rFonts w:ascii="宋体" w:hAnsi="宋体"/>
          <w:b/>
          <w:color w:val="auto"/>
          <w:w w:val="99"/>
          <w:kern w:val="0"/>
          <w:sz w:val="28"/>
          <w:szCs w:val="28"/>
          <w:highlight w:val="none"/>
        </w:rPr>
        <w:t>代理机构：</w:t>
      </w:r>
      <w:r>
        <w:rPr>
          <w:rFonts w:hint="eastAsia" w:ascii="宋体" w:hAnsi="宋体"/>
          <w:b/>
          <w:color w:val="auto"/>
          <w:w w:val="99"/>
          <w:kern w:val="0"/>
          <w:sz w:val="28"/>
          <w:szCs w:val="28"/>
          <w:highlight w:val="none"/>
          <w:u w:val="single"/>
          <w:lang w:val="en-US" w:eastAsia="zh-CN"/>
        </w:rPr>
        <w:t>重庆新舟项目管理有限公司</w:t>
      </w:r>
      <w:r>
        <w:rPr>
          <w:rFonts w:hint="eastAsia" w:ascii="宋体" w:hAnsi="宋体" w:eastAsia="宋体" w:cs="宋体"/>
          <w:color w:val="auto"/>
          <w:sz w:val="28"/>
          <w:szCs w:val="28"/>
          <w:highlight w:val="none"/>
          <w:u w:val="single"/>
          <w:lang w:val="en-US" w:eastAsia="zh-CN"/>
        </w:rPr>
        <w:t xml:space="preserve"> </w:t>
      </w:r>
      <w:r>
        <w:rPr>
          <w:rFonts w:ascii="宋体" w:hAnsi="宋体"/>
          <w:b/>
          <w:color w:val="auto"/>
          <w:w w:val="99"/>
          <w:kern w:val="0"/>
          <w:sz w:val="28"/>
          <w:szCs w:val="28"/>
          <w:highlight w:val="none"/>
        </w:rPr>
        <w:t>（盖单位法人章）</w:t>
      </w:r>
    </w:p>
    <w:p w14:paraId="77F0F14B">
      <w:pPr>
        <w:autoSpaceDE w:val="0"/>
        <w:autoSpaceDN w:val="0"/>
        <w:adjustRightInd w:val="0"/>
        <w:snapToGrid w:val="0"/>
        <w:spacing w:line="360" w:lineRule="auto"/>
        <w:jc w:val="center"/>
        <w:rPr>
          <w:rFonts w:ascii="宋体" w:hAnsi="宋体"/>
          <w:b/>
          <w:color w:val="auto"/>
          <w:kern w:val="0"/>
          <w:sz w:val="20"/>
          <w:szCs w:val="20"/>
          <w:highlight w:val="none"/>
        </w:rPr>
      </w:pPr>
    </w:p>
    <w:p w14:paraId="2AD0D956">
      <w:pPr>
        <w:autoSpaceDE w:val="0"/>
        <w:autoSpaceDN w:val="0"/>
        <w:adjustRightInd w:val="0"/>
        <w:snapToGrid w:val="0"/>
        <w:spacing w:line="360" w:lineRule="auto"/>
        <w:jc w:val="center"/>
        <w:rPr>
          <w:rFonts w:ascii="宋体" w:hAnsi="宋体"/>
          <w:b/>
          <w:color w:val="auto"/>
          <w:kern w:val="0"/>
          <w:sz w:val="28"/>
          <w:szCs w:val="28"/>
          <w:highlight w:val="none"/>
        </w:rPr>
      </w:pPr>
    </w:p>
    <w:p w14:paraId="1518F4D3">
      <w:pPr>
        <w:autoSpaceDE w:val="0"/>
        <w:autoSpaceDN w:val="0"/>
        <w:adjustRightInd w:val="0"/>
        <w:snapToGrid w:val="0"/>
        <w:spacing w:line="360" w:lineRule="auto"/>
        <w:jc w:val="center"/>
        <w:rPr>
          <w:rFonts w:ascii="宋体" w:hAnsi="宋体"/>
          <w:b/>
          <w:color w:val="auto"/>
          <w:kern w:val="0"/>
          <w:sz w:val="28"/>
          <w:szCs w:val="28"/>
          <w:highlight w:val="none"/>
        </w:rPr>
      </w:pPr>
    </w:p>
    <w:p w14:paraId="29A8714A">
      <w:pPr>
        <w:autoSpaceDE w:val="0"/>
        <w:autoSpaceDN w:val="0"/>
        <w:adjustRightInd w:val="0"/>
        <w:snapToGrid w:val="0"/>
        <w:spacing w:line="360" w:lineRule="auto"/>
        <w:rPr>
          <w:rFonts w:ascii="宋体" w:hAnsi="宋体"/>
          <w:b/>
          <w:color w:val="auto"/>
          <w:kern w:val="0"/>
          <w:sz w:val="20"/>
          <w:szCs w:val="20"/>
          <w:highlight w:val="none"/>
        </w:rPr>
      </w:pPr>
    </w:p>
    <w:p w14:paraId="7A7B6C1A">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797277"/>
      <w:bookmarkStart w:id="2" w:name="_Toc13210649"/>
      <w:bookmarkStart w:id="3" w:name="_Toc509218549"/>
      <w:bookmarkStart w:id="4" w:name="_Toc536621766"/>
      <w:bookmarkStart w:id="5" w:name="_Toc536796736"/>
      <w:r>
        <w:rPr>
          <w:rFonts w:hint="eastAsia" w:ascii="宋体" w:hAnsi="宋体"/>
          <w:b/>
          <w:color w:val="auto"/>
          <w:spacing w:val="8"/>
          <w:kern w:val="0"/>
          <w:sz w:val="28"/>
          <w:szCs w:val="28"/>
          <w:highlight w:val="none"/>
          <w:u w:val="single"/>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04</w:t>
      </w:r>
      <w:r>
        <w:rPr>
          <w:rFonts w:ascii="宋体" w:hAnsi="宋体"/>
          <w:b/>
          <w:color w:val="auto"/>
          <w:spacing w:val="8"/>
          <w:kern w:val="0"/>
          <w:sz w:val="28"/>
          <w:szCs w:val="28"/>
          <w:highlight w:val="none"/>
        </w:rPr>
        <w:t>月</w:t>
      </w:r>
      <w:bookmarkEnd w:id="1"/>
      <w:bookmarkEnd w:id="2"/>
      <w:bookmarkEnd w:id="3"/>
      <w:bookmarkEnd w:id="4"/>
      <w:bookmarkEnd w:id="5"/>
    </w:p>
    <w:p w14:paraId="3B31F1CE">
      <w:pPr>
        <w:pStyle w:val="3"/>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7CC94507">
      <w:pPr>
        <w:pStyle w:val="119"/>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18AB85A0">
      <w:pPr>
        <w:pStyle w:val="31"/>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highlight w:val="none"/>
        </w:rPr>
        <w:fldChar w:fldCharType="begin"/>
      </w:r>
      <w:r>
        <w:rPr>
          <w:color w:val="auto"/>
          <w:highlight w:val="none"/>
        </w:rPr>
        <w:instrText xml:space="preserve"> HYPERLINK \l "_Toc25290" </w:instrText>
      </w:r>
      <w:r>
        <w:rPr>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_Toc25290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7FC2CA2">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"_Toc20045" </w:instrText>
      </w:r>
      <w:r>
        <w:rPr>
          <w:color w:val="auto"/>
          <w:highlight w:val="none"/>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r>
        <w:rPr>
          <w:color w:val="auto"/>
          <w:highlight w:val="none"/>
        </w:rPr>
        <w:tab/>
      </w:r>
      <w:r>
        <w:rPr>
          <w:color w:val="auto"/>
          <w:highlight w:val="none"/>
        </w:rPr>
        <w:fldChar w:fldCharType="begin"/>
      </w:r>
      <w:r>
        <w:rPr>
          <w:color w:val="auto"/>
          <w:highlight w:val="none"/>
        </w:rPr>
        <w:instrText xml:space="preserve"> PAGEREF _Toc20045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9410D32">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"_Toc3516" </w:instrText>
      </w:r>
      <w:r>
        <w:rPr>
          <w:color w:val="auto"/>
          <w:highlight w:val="none"/>
        </w:rPr>
        <w:fldChar w:fldCharType="separate"/>
      </w:r>
      <w:r>
        <w:rPr>
          <w:rFonts w:hint="eastAsia"/>
          <w:snapToGrid w:val="0"/>
          <w:color w:val="auto"/>
          <w:kern w:val="0"/>
          <w:highlight w:val="none"/>
        </w:rPr>
        <w:t>第二章</w:t>
      </w:r>
      <w:r>
        <w:rPr>
          <w:rFonts w:hint="eastAsia"/>
          <w:color w:val="auto"/>
          <w:kern w:val="0"/>
          <w:highlight w:val="none"/>
        </w:rPr>
        <w:t>比选申请人须知</w:t>
      </w:r>
      <w:r>
        <w:rPr>
          <w:color w:val="auto"/>
          <w:highlight w:val="none"/>
        </w:rPr>
        <w:tab/>
      </w:r>
      <w:r>
        <w:rPr>
          <w:color w:val="auto"/>
          <w:highlight w:val="none"/>
        </w:rPr>
        <w:fldChar w:fldCharType="begin"/>
      </w:r>
      <w:r>
        <w:rPr>
          <w:color w:val="auto"/>
          <w:highlight w:val="none"/>
        </w:rPr>
        <w:instrText xml:space="preserve"> PAGEREF _Toc3516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479D97B">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"_Toc23102" </w:instrText>
      </w:r>
      <w:r>
        <w:rPr>
          <w:color w:val="auto"/>
          <w:highlight w:val="none"/>
        </w:rPr>
        <w:fldChar w:fldCharType="separate"/>
      </w:r>
      <w:r>
        <w:rPr>
          <w:rFonts w:hint="eastAsia" w:ascii="宋体" w:hAnsi="宋体"/>
          <w:color w:val="auto"/>
          <w:szCs w:val="32"/>
          <w:highlight w:val="none"/>
        </w:rPr>
        <w:t>比选申请人须知前附表</w:t>
      </w:r>
      <w:r>
        <w:rPr>
          <w:color w:val="auto"/>
          <w:highlight w:val="none"/>
        </w:rPr>
        <w:tab/>
      </w:r>
      <w:r>
        <w:rPr>
          <w:color w:val="auto"/>
          <w:highlight w:val="none"/>
        </w:rPr>
        <w:fldChar w:fldCharType="begin"/>
      </w:r>
      <w:r>
        <w:rPr>
          <w:color w:val="auto"/>
          <w:highlight w:val="none"/>
        </w:rPr>
        <w:instrText xml:space="preserve"> PAGEREF _Toc23102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28A9AEC">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"_Toc2569" </w:instrText>
      </w:r>
      <w:r>
        <w:rPr>
          <w:color w:val="auto"/>
          <w:highlight w:val="none"/>
        </w:rPr>
        <w:fldChar w:fldCharType="separate"/>
      </w:r>
      <w:r>
        <w:rPr>
          <w:rFonts w:hint="eastAsia"/>
          <w:color w:val="auto"/>
          <w:highlight w:val="none"/>
        </w:rPr>
        <w:t>第三章评标办法</w:t>
      </w:r>
      <w:r>
        <w:rPr>
          <w:color w:val="auto"/>
          <w:highlight w:val="none"/>
        </w:rPr>
        <w:t>(</w:t>
      </w:r>
      <w:r>
        <w:rPr>
          <w:rFonts w:hint="eastAsia"/>
          <w:color w:val="auto"/>
          <w:highlight w:val="none"/>
        </w:rPr>
        <w:t>综合评估法</w:t>
      </w:r>
      <w:r>
        <w:rPr>
          <w:color w:val="auto"/>
          <w:highlight w:val="none"/>
        </w:rPr>
        <w:t>)</w:t>
      </w:r>
      <w:r>
        <w:rPr>
          <w:color w:val="auto"/>
          <w:highlight w:val="none"/>
        </w:rPr>
        <w:tab/>
      </w:r>
      <w:r>
        <w:rPr>
          <w:color w:val="auto"/>
          <w:highlight w:val="none"/>
        </w:rPr>
        <w:fldChar w:fldCharType="begin"/>
      </w:r>
      <w:r>
        <w:rPr>
          <w:color w:val="auto"/>
          <w:highlight w:val="none"/>
        </w:rPr>
        <w:instrText xml:space="preserve"> PAGEREF _Toc2569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03AE26B">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"_Toc27038" </w:instrText>
      </w:r>
      <w:r>
        <w:rPr>
          <w:color w:val="auto"/>
          <w:highlight w:val="none"/>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_Toc27038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83009F5">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"_Toc2205" </w:instrText>
      </w:r>
      <w:r>
        <w:rPr>
          <w:color w:val="auto"/>
          <w:highlight w:val="none"/>
        </w:rPr>
        <w:fldChar w:fldCharType="separate"/>
      </w:r>
      <w:r>
        <w:rPr>
          <w:rFonts w:hint="eastAsia" w:ascii="宋体" w:hAnsi="宋体" w:cs="宋体"/>
          <w:color w:val="auto"/>
          <w:kern w:val="44"/>
          <w:szCs w:val="21"/>
          <w:highlight w:val="none"/>
          <w:lang w:bidi="ar"/>
        </w:rPr>
        <w:t>第一部分 合同协议书</w:t>
      </w:r>
      <w:r>
        <w:rPr>
          <w:color w:val="auto"/>
          <w:highlight w:val="none"/>
        </w:rPr>
        <w:tab/>
      </w:r>
      <w:r>
        <w:rPr>
          <w:color w:val="auto"/>
          <w:highlight w:val="none"/>
        </w:rPr>
        <w:fldChar w:fldCharType="begin"/>
      </w:r>
      <w:r>
        <w:rPr>
          <w:color w:val="auto"/>
          <w:highlight w:val="none"/>
        </w:rPr>
        <w:instrText xml:space="preserve"> PAGEREF _Toc2205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9081C5F">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"_Toc4277" </w:instrText>
      </w:r>
      <w:r>
        <w:rPr>
          <w:color w:val="auto"/>
          <w:highlight w:val="none"/>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_Toc4277 \h </w:instrText>
      </w:r>
      <w:r>
        <w:rPr>
          <w:color w:val="auto"/>
          <w:highlight w:val="none"/>
        </w:rPr>
        <w:fldChar w:fldCharType="separate"/>
      </w:r>
      <w:r>
        <w:rPr>
          <w:color w:val="auto"/>
          <w:highlight w:val="none"/>
        </w:rPr>
        <w:t>197</w:t>
      </w:r>
      <w:r>
        <w:rPr>
          <w:color w:val="auto"/>
          <w:highlight w:val="none"/>
        </w:rPr>
        <w:fldChar w:fldCharType="end"/>
      </w:r>
      <w:r>
        <w:rPr>
          <w:color w:val="auto"/>
          <w:highlight w:val="none"/>
        </w:rPr>
        <w:fldChar w:fldCharType="end"/>
      </w:r>
    </w:p>
    <w:p w14:paraId="47A105B8">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"_Toc4355" </w:instrText>
      </w:r>
      <w:r>
        <w:rPr>
          <w:color w:val="auto"/>
          <w:highlight w:val="none"/>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_Toc4355 \h </w:instrText>
      </w:r>
      <w:r>
        <w:rPr>
          <w:color w:val="auto"/>
          <w:highlight w:val="none"/>
        </w:rPr>
        <w:fldChar w:fldCharType="separate"/>
      </w:r>
      <w:r>
        <w:rPr>
          <w:color w:val="auto"/>
          <w:highlight w:val="none"/>
        </w:rPr>
        <w:t>198</w:t>
      </w:r>
      <w:r>
        <w:rPr>
          <w:color w:val="auto"/>
          <w:highlight w:val="none"/>
        </w:rPr>
        <w:fldChar w:fldCharType="end"/>
      </w:r>
      <w:r>
        <w:rPr>
          <w:color w:val="auto"/>
          <w:highlight w:val="none"/>
        </w:rPr>
        <w:fldChar w:fldCharType="end"/>
      </w:r>
    </w:p>
    <w:p w14:paraId="2C279154">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"_Toc16153" </w:instrText>
      </w:r>
      <w:r>
        <w:rPr>
          <w:color w:val="auto"/>
          <w:highlight w:val="none"/>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_Toc16153 \h </w:instrText>
      </w:r>
      <w:r>
        <w:rPr>
          <w:color w:val="auto"/>
          <w:highlight w:val="none"/>
        </w:rPr>
        <w:fldChar w:fldCharType="separate"/>
      </w:r>
      <w:r>
        <w:rPr>
          <w:color w:val="auto"/>
          <w:highlight w:val="none"/>
        </w:rPr>
        <w:t>199</w:t>
      </w:r>
      <w:r>
        <w:rPr>
          <w:color w:val="auto"/>
          <w:highlight w:val="none"/>
        </w:rPr>
        <w:fldChar w:fldCharType="end"/>
      </w:r>
      <w:r>
        <w:rPr>
          <w:color w:val="auto"/>
          <w:highlight w:val="none"/>
        </w:rPr>
        <w:fldChar w:fldCharType="end"/>
      </w:r>
    </w:p>
    <w:p w14:paraId="7BA73061">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"_Toc8199" </w:instrText>
      </w:r>
      <w:r>
        <w:rPr>
          <w:color w:val="auto"/>
          <w:highlight w:val="none"/>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_Toc8199 \h </w:instrText>
      </w:r>
      <w:r>
        <w:rPr>
          <w:color w:val="auto"/>
          <w:highlight w:val="none"/>
        </w:rPr>
        <w:fldChar w:fldCharType="separate"/>
      </w:r>
      <w:r>
        <w:rPr>
          <w:color w:val="auto"/>
          <w:highlight w:val="none"/>
        </w:rPr>
        <w:t>200</w:t>
      </w:r>
      <w:r>
        <w:rPr>
          <w:color w:val="auto"/>
          <w:highlight w:val="none"/>
        </w:rPr>
        <w:fldChar w:fldCharType="end"/>
      </w:r>
      <w:r>
        <w:rPr>
          <w:color w:val="auto"/>
          <w:highlight w:val="none"/>
        </w:rPr>
        <w:fldChar w:fldCharType="end"/>
      </w:r>
    </w:p>
    <w:p w14:paraId="0F89D16C">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"_Toc4893" </w:instrText>
      </w:r>
      <w:r>
        <w:rPr>
          <w:color w:val="auto"/>
          <w:highlight w:val="none"/>
        </w:rPr>
        <w:fldChar w:fldCharType="separate"/>
      </w:r>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_Toc4893 \h </w:instrText>
      </w:r>
      <w:r>
        <w:rPr>
          <w:color w:val="auto"/>
          <w:highlight w:val="none"/>
        </w:rPr>
        <w:fldChar w:fldCharType="separate"/>
      </w:r>
      <w:r>
        <w:rPr>
          <w:color w:val="auto"/>
          <w:highlight w:val="none"/>
        </w:rPr>
        <w:t>201</w:t>
      </w:r>
      <w:r>
        <w:rPr>
          <w:color w:val="auto"/>
          <w:highlight w:val="none"/>
        </w:rPr>
        <w:fldChar w:fldCharType="end"/>
      </w:r>
      <w:r>
        <w:rPr>
          <w:color w:val="auto"/>
          <w:highlight w:val="none"/>
        </w:rPr>
        <w:fldChar w:fldCharType="end"/>
      </w:r>
    </w:p>
    <w:p w14:paraId="2B917BC4">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"_Toc12771" </w:instrText>
      </w:r>
      <w:r>
        <w:rPr>
          <w:color w:val="auto"/>
          <w:highlight w:val="none"/>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_Toc12771 \h </w:instrText>
      </w:r>
      <w:r>
        <w:rPr>
          <w:color w:val="auto"/>
          <w:highlight w:val="none"/>
        </w:rPr>
        <w:fldChar w:fldCharType="separate"/>
      </w:r>
      <w:r>
        <w:rPr>
          <w:color w:val="auto"/>
          <w:highlight w:val="none"/>
        </w:rPr>
        <w:t>202</w:t>
      </w:r>
      <w:r>
        <w:rPr>
          <w:color w:val="auto"/>
          <w:highlight w:val="none"/>
        </w:rPr>
        <w:fldChar w:fldCharType="end"/>
      </w:r>
      <w:r>
        <w:rPr>
          <w:color w:val="auto"/>
          <w:highlight w:val="none"/>
        </w:rPr>
        <w:fldChar w:fldCharType="end"/>
      </w:r>
    </w:p>
    <w:p w14:paraId="405B7776">
      <w:pPr>
        <w:pStyle w:val="31"/>
        <w:tabs>
          <w:tab w:val="right" w:leader="dot" w:pos="9469"/>
        </w:tabs>
        <w:rPr>
          <w:color w:val="auto"/>
          <w:highlight w:val="none"/>
        </w:rPr>
      </w:pPr>
      <w:r>
        <w:rPr>
          <w:color w:val="auto"/>
          <w:highlight w:val="none"/>
        </w:rPr>
        <w:fldChar w:fldCharType="begin"/>
      </w:r>
      <w:r>
        <w:rPr>
          <w:color w:val="auto"/>
          <w:highlight w:val="none"/>
        </w:rPr>
        <w:instrText xml:space="preserve"> HYPERLINK \l "_Toc106" </w:instrText>
      </w:r>
      <w:r>
        <w:rPr>
          <w:color w:val="auto"/>
          <w:highlight w:val="none"/>
        </w:rPr>
        <w:fldChar w:fldCharType="separate"/>
      </w:r>
      <w:r>
        <w:rPr>
          <w:rFonts w:hint="eastAsia"/>
          <w:color w:val="auto"/>
          <w:highlight w:val="none"/>
        </w:rPr>
        <w:t>第八章　比选申请文件格式</w:t>
      </w:r>
      <w:r>
        <w:rPr>
          <w:color w:val="auto"/>
          <w:highlight w:val="none"/>
        </w:rPr>
        <w:tab/>
      </w:r>
      <w:r>
        <w:rPr>
          <w:color w:val="auto"/>
          <w:highlight w:val="none"/>
        </w:rPr>
        <w:fldChar w:fldCharType="begin"/>
      </w:r>
      <w:r>
        <w:rPr>
          <w:color w:val="auto"/>
          <w:highlight w:val="none"/>
        </w:rPr>
        <w:instrText xml:space="preserve"> PAGEREF _Toc106 \h </w:instrText>
      </w:r>
      <w:r>
        <w:rPr>
          <w:color w:val="auto"/>
          <w:highlight w:val="none"/>
        </w:rPr>
        <w:fldChar w:fldCharType="separate"/>
      </w:r>
      <w:r>
        <w:rPr>
          <w:color w:val="auto"/>
          <w:highlight w:val="none"/>
        </w:rPr>
        <w:t>203</w:t>
      </w:r>
      <w:r>
        <w:rPr>
          <w:color w:val="auto"/>
          <w:highlight w:val="none"/>
        </w:rPr>
        <w:fldChar w:fldCharType="end"/>
      </w:r>
      <w:r>
        <w:rPr>
          <w:color w:val="auto"/>
          <w:highlight w:val="none"/>
        </w:rPr>
        <w:fldChar w:fldCharType="end"/>
      </w:r>
    </w:p>
    <w:p w14:paraId="79C7A2BB">
      <w:pPr>
        <w:pStyle w:val="22"/>
        <w:tabs>
          <w:tab w:val="right" w:leader="dot" w:pos="9469"/>
        </w:tabs>
        <w:rPr>
          <w:color w:val="auto"/>
          <w:highlight w:val="none"/>
        </w:rPr>
      </w:pPr>
    </w:p>
    <w:p w14:paraId="4E0114F3">
      <w:pPr>
        <w:rPr>
          <w:rFonts w:ascii="宋体" w:hAnsi="宋体"/>
          <w:color w:val="auto"/>
          <w:highlight w:val="none"/>
        </w:rPr>
      </w:pPr>
      <w:r>
        <w:rPr>
          <w:rFonts w:ascii="宋体" w:hAnsi="宋体"/>
          <w:bCs/>
          <w:color w:val="auto"/>
          <w:szCs w:val="20"/>
          <w:highlight w:val="none"/>
          <w:lang w:val="zh-CN"/>
        </w:rPr>
        <w:fldChar w:fldCharType="end"/>
      </w:r>
    </w:p>
    <w:bookmarkEnd w:id="0"/>
    <w:p w14:paraId="0F049D7F">
      <w:pPr>
        <w:spacing w:line="20" w:lineRule="exact"/>
        <w:rPr>
          <w:rFonts w:ascii="宋体" w:hAnsi="宋体"/>
          <w:color w:val="auto"/>
          <w:highlight w:val="none"/>
        </w:rPr>
      </w:pPr>
      <w:bookmarkStart w:id="8" w:name="_Toc430530414"/>
    </w:p>
    <w:p w14:paraId="2700D85B">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2C083172">
      <w:pPr>
        <w:spacing w:line="360" w:lineRule="auto"/>
        <w:rPr>
          <w:rFonts w:ascii="宋体" w:hAnsi="宋体"/>
          <w:color w:val="auto"/>
          <w:highlight w:val="none"/>
        </w:rPr>
      </w:pPr>
    </w:p>
    <w:p w14:paraId="4F35F822">
      <w:pPr>
        <w:pStyle w:val="3"/>
        <w:spacing w:before="0" w:after="0" w:line="480" w:lineRule="auto"/>
        <w:jc w:val="center"/>
        <w:rPr>
          <w:rFonts w:ascii="宋体" w:hAnsi="宋体"/>
          <w:color w:val="auto"/>
          <w:sz w:val="52"/>
          <w:szCs w:val="52"/>
          <w:highlight w:val="none"/>
        </w:rPr>
      </w:pPr>
      <w:bookmarkStart w:id="9" w:name="_Toc9936"/>
      <w:bookmarkStart w:id="10" w:name="_Toc509218690"/>
      <w:bookmarkStart w:id="11" w:name="_Toc25290"/>
      <w:r>
        <w:rPr>
          <w:rFonts w:hint="eastAsia" w:ascii="宋体" w:hAnsi="宋体"/>
          <w:color w:val="auto"/>
          <w:sz w:val="52"/>
          <w:szCs w:val="52"/>
          <w:highlight w:val="none"/>
        </w:rPr>
        <w:t>第 一 卷</w:t>
      </w:r>
      <w:bookmarkEnd w:id="9"/>
      <w:bookmarkEnd w:id="10"/>
      <w:bookmarkEnd w:id="11"/>
    </w:p>
    <w:p w14:paraId="7D5AC940">
      <w:pPr>
        <w:spacing w:line="200" w:lineRule="exact"/>
        <w:rPr>
          <w:rFonts w:ascii="宋体" w:hAnsi="宋体"/>
          <w:color w:val="auto"/>
          <w:highlight w:val="none"/>
        </w:rPr>
      </w:pPr>
      <w:r>
        <w:rPr>
          <w:rFonts w:ascii="宋体" w:hAnsi="宋体"/>
          <w:color w:val="auto"/>
          <w:highlight w:val="none"/>
        </w:rPr>
        <w:br w:type="page"/>
      </w:r>
    </w:p>
    <w:p w14:paraId="193E6D48">
      <w:pPr>
        <w:pStyle w:val="3"/>
        <w:spacing w:line="360" w:lineRule="auto"/>
        <w:jc w:val="center"/>
        <w:rPr>
          <w:rFonts w:ascii="宋体" w:hAnsi="宋体"/>
          <w:snapToGrid w:val="0"/>
          <w:color w:val="auto"/>
          <w:kern w:val="0"/>
          <w:highlight w:val="none"/>
        </w:rPr>
      </w:pPr>
      <w:bookmarkStart w:id="12" w:name="_Toc287620666"/>
      <w:bookmarkStart w:id="13" w:name="_Toc277082535"/>
      <w:bookmarkStart w:id="14" w:name="_Toc224103298"/>
      <w:bookmarkStart w:id="15" w:name="_Toc430530415"/>
      <w:bookmarkStart w:id="16" w:name="_Toc12819"/>
      <w:bookmarkStart w:id="17" w:name="_Toc20045"/>
      <w:bookmarkStart w:id="18" w:name="_Toc509218691"/>
      <w:bookmarkStart w:id="19" w:name="_Toc287607727"/>
      <w:bookmarkStart w:id="20" w:name="_Toc355"/>
      <w:bookmarkStart w:id="21" w:name="_Toc430530435"/>
      <w:bookmarkStart w:id="22" w:name="_Toc287607746"/>
      <w:bookmarkStart w:id="23" w:name="_Toc277082552"/>
      <w:bookmarkStart w:id="24" w:name="_Toc200513126"/>
      <w:bookmarkStart w:id="25" w:name="_Toc224103317"/>
      <w:bookmarkStart w:id="26" w:name="_Toc287620685"/>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bookmarkEnd w:id="12"/>
      <w:bookmarkEnd w:id="13"/>
      <w:bookmarkEnd w:id="14"/>
      <w:bookmarkEnd w:id="15"/>
      <w:bookmarkEnd w:id="16"/>
      <w:bookmarkEnd w:id="17"/>
      <w:bookmarkEnd w:id="18"/>
      <w:bookmarkEnd w:id="19"/>
      <w:bookmarkEnd w:id="20"/>
    </w:p>
    <w:p w14:paraId="10F6E225">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lang w:eastAsia="zh-CN"/>
        </w:rPr>
        <w:t>五洲世纪文化创意中心第13、14层改造项目</w:t>
      </w:r>
      <w:r>
        <w:rPr>
          <w:rFonts w:hint="eastAsia" w:ascii="宋体" w:hAnsi="宋体"/>
          <w:snapToGrid w:val="0"/>
          <w:color w:val="auto"/>
          <w:w w:val="99"/>
          <w:kern w:val="0"/>
          <w:sz w:val="28"/>
          <w:szCs w:val="28"/>
          <w:highlight w:val="none"/>
        </w:rPr>
        <w:t>竞争性比选</w:t>
      </w:r>
      <w:r>
        <w:rPr>
          <w:rFonts w:ascii="宋体" w:hAnsi="宋体"/>
          <w:snapToGrid w:val="0"/>
          <w:color w:val="auto"/>
          <w:w w:val="99"/>
          <w:kern w:val="0"/>
          <w:sz w:val="28"/>
          <w:szCs w:val="28"/>
          <w:highlight w:val="none"/>
        </w:rPr>
        <w:t>公告</w:t>
      </w:r>
    </w:p>
    <w:p w14:paraId="56738F84">
      <w:pPr>
        <w:pStyle w:val="4"/>
        <w:spacing w:before="100" w:after="100" w:line="460" w:lineRule="exact"/>
        <w:rPr>
          <w:rFonts w:ascii="宋体" w:hAnsi="宋体"/>
          <w:snapToGrid w:val="0"/>
          <w:color w:val="auto"/>
          <w:sz w:val="28"/>
          <w:szCs w:val="28"/>
          <w:highlight w:val="none"/>
        </w:rPr>
      </w:pPr>
      <w:bookmarkStart w:id="27" w:name="_Toc509218692"/>
      <w:bookmarkStart w:id="28" w:name="_Toc277082536"/>
      <w:bookmarkStart w:id="29" w:name="_Toc287620667"/>
      <w:bookmarkStart w:id="30" w:name="_Toc287607728"/>
      <w:bookmarkStart w:id="31" w:name="_Toc200359427"/>
      <w:bookmarkStart w:id="32" w:name="_Toc200359238"/>
      <w:bookmarkStart w:id="33" w:name="_Toc28468"/>
      <w:bookmarkStart w:id="34" w:name="_Toc430530416"/>
      <w:bookmarkStart w:id="35" w:name="_Toc5922"/>
      <w:bookmarkStart w:id="36" w:name="_Toc27491"/>
      <w:bookmarkStart w:id="37" w:name="_Toc224103299"/>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比选</w:t>
      </w:r>
      <w:r>
        <w:rPr>
          <w:rFonts w:ascii="宋体" w:hAnsi="宋体"/>
          <w:snapToGrid w:val="0"/>
          <w:color w:val="auto"/>
          <w:sz w:val="28"/>
          <w:szCs w:val="28"/>
          <w:highlight w:val="none"/>
        </w:rPr>
        <w:t>条件</w:t>
      </w:r>
      <w:bookmarkEnd w:id="27"/>
      <w:bookmarkEnd w:id="28"/>
      <w:bookmarkEnd w:id="29"/>
      <w:bookmarkEnd w:id="30"/>
      <w:bookmarkEnd w:id="31"/>
      <w:bookmarkEnd w:id="32"/>
      <w:bookmarkEnd w:id="33"/>
      <w:bookmarkEnd w:id="34"/>
      <w:bookmarkEnd w:id="35"/>
      <w:bookmarkEnd w:id="36"/>
      <w:bookmarkEnd w:id="37"/>
    </w:p>
    <w:p w14:paraId="7EA32AD1">
      <w:p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u w:val="single"/>
          <w:lang w:val="zh-CN"/>
        </w:rPr>
        <w:t>五洲世纪文化创意中心第13、14层改造项目</w:t>
      </w:r>
      <w:r>
        <w:rPr>
          <w:rFonts w:ascii="宋体" w:hAnsi="宋体"/>
          <w:snapToGrid w:val="0"/>
          <w:color w:val="auto"/>
          <w:kern w:val="0"/>
          <w:szCs w:val="21"/>
          <w:highlight w:val="none"/>
        </w:rPr>
        <w:t>已</w:t>
      </w:r>
      <w:r>
        <w:rPr>
          <w:rFonts w:hint="eastAsia" w:ascii="宋体" w:hAnsi="宋体"/>
          <w:snapToGrid w:val="0"/>
          <w:color w:val="auto"/>
          <w:kern w:val="0"/>
          <w:szCs w:val="21"/>
          <w:highlight w:val="none"/>
        </w:rPr>
        <w:t>由</w:t>
      </w:r>
      <w:r>
        <w:rPr>
          <w:rFonts w:hint="eastAsia" w:ascii="宋体" w:hAnsi="宋体"/>
          <w:snapToGrid w:val="0"/>
          <w:color w:val="auto"/>
          <w:kern w:val="0"/>
          <w:szCs w:val="21"/>
          <w:highlight w:val="none"/>
          <w:u w:val="single"/>
        </w:rPr>
        <w:t>重庆市九龙坡区发展和改革委员会</w:t>
      </w:r>
      <w:r>
        <w:rPr>
          <w:rFonts w:hint="eastAsia" w:ascii="宋体" w:hAnsi="宋体"/>
          <w:snapToGrid w:val="0"/>
          <w:color w:val="auto"/>
          <w:kern w:val="0"/>
          <w:szCs w:val="21"/>
          <w:highlight w:val="none"/>
        </w:rPr>
        <w:t>颁发的</w:t>
      </w:r>
      <w:r>
        <w:rPr>
          <w:rFonts w:hint="eastAsia" w:ascii="宋体" w:hAnsi="宋体"/>
          <w:snapToGrid w:val="0"/>
          <w:color w:val="auto"/>
          <w:kern w:val="0"/>
          <w:szCs w:val="21"/>
          <w:highlight w:val="none"/>
          <w:u w:val="single"/>
        </w:rPr>
        <w:t>重庆市企业投资项目备案证（项目代码:</w:t>
      </w:r>
      <w:r>
        <w:rPr>
          <w:rFonts w:hint="eastAsia" w:ascii="宋体" w:hAnsi="宋体"/>
          <w:snapToGrid w:val="0"/>
          <w:color w:val="auto"/>
          <w:kern w:val="0"/>
          <w:szCs w:val="21"/>
          <w:highlight w:val="none"/>
          <w:u w:val="single"/>
          <w:lang w:val="en-US" w:eastAsia="zh-CN"/>
        </w:rPr>
        <w:t>2502-500107-04-05-694177</w:t>
      </w:r>
      <w:r>
        <w:rPr>
          <w:rFonts w:hint="eastAsia" w:ascii="宋体" w:hAnsi="宋体"/>
          <w:snapToGrid w:val="0"/>
          <w:color w:val="auto"/>
          <w:kern w:val="0"/>
          <w:szCs w:val="21"/>
          <w:highlight w:val="none"/>
          <w:u w:val="single"/>
        </w:rPr>
        <w:t>）</w:t>
      </w:r>
      <w:r>
        <w:rPr>
          <w:rFonts w:ascii="宋体" w:hAnsi="宋体"/>
          <w:snapToGrid w:val="0"/>
          <w:color w:val="auto"/>
          <w:kern w:val="0"/>
          <w:szCs w:val="21"/>
          <w:highlight w:val="none"/>
          <w:u w:val="single"/>
        </w:rPr>
        <w:t>批</w:t>
      </w:r>
      <w:r>
        <w:rPr>
          <w:rFonts w:hint="eastAsia" w:ascii="宋体" w:hAnsi="宋体"/>
          <w:snapToGrid w:val="0"/>
          <w:color w:val="auto"/>
          <w:kern w:val="0"/>
          <w:szCs w:val="21"/>
          <w:highlight w:val="none"/>
          <w:u w:val="single"/>
        </w:rPr>
        <w:t>准建设</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为</w:t>
      </w:r>
      <w:r>
        <w:rPr>
          <w:rFonts w:hint="eastAsia" w:ascii="宋体" w:hAnsi="宋体"/>
          <w:snapToGrid w:val="0"/>
          <w:color w:val="auto"/>
          <w:kern w:val="0"/>
          <w:szCs w:val="21"/>
          <w:highlight w:val="none"/>
          <w:u w:val="single"/>
        </w:rPr>
        <w:t>重庆九龙半岛开发建设有限公司</w:t>
      </w:r>
      <w:r>
        <w:rPr>
          <w:rFonts w:ascii="宋体" w:hAnsi="宋体"/>
          <w:snapToGrid w:val="0"/>
          <w:color w:val="auto"/>
          <w:kern w:val="0"/>
          <w:szCs w:val="21"/>
          <w:highlight w:val="none"/>
        </w:rPr>
        <w:t>，建设资金</w:t>
      </w:r>
      <w:r>
        <w:rPr>
          <w:rFonts w:hint="eastAsia" w:ascii="宋体" w:hAnsi="宋体"/>
          <w:snapToGrid w:val="0"/>
          <w:color w:val="auto"/>
          <w:kern w:val="0"/>
          <w:szCs w:val="21"/>
          <w:highlight w:val="none"/>
          <w:lang w:val="en-US" w:eastAsia="zh-CN"/>
        </w:rPr>
        <w:t>为</w:t>
      </w:r>
      <w:r>
        <w:rPr>
          <w:rFonts w:hint="eastAsia" w:ascii="宋体" w:hAnsi="宋体"/>
          <w:snapToGrid w:val="0"/>
          <w:color w:val="auto"/>
          <w:kern w:val="0"/>
          <w:szCs w:val="21"/>
          <w:highlight w:val="none"/>
          <w:u w:val="single"/>
          <w:lang w:val="en-US" w:eastAsia="zh-CN"/>
        </w:rPr>
        <w:t>自有资金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position w:val="-2"/>
          <w:szCs w:val="21"/>
          <w:highlight w:val="none"/>
        </w:rPr>
        <w:t>。项目已具备比选条件，现对</w:t>
      </w:r>
      <w:r>
        <w:rPr>
          <w:rFonts w:hint="eastAsia" w:ascii="宋体" w:hAnsi="宋体"/>
          <w:snapToGrid w:val="0"/>
          <w:color w:val="auto"/>
          <w:kern w:val="0"/>
          <w:position w:val="-2"/>
          <w:szCs w:val="21"/>
          <w:highlight w:val="none"/>
        </w:rPr>
        <w:t>该</w:t>
      </w:r>
      <w:r>
        <w:rPr>
          <w:rFonts w:ascii="宋体" w:hAnsi="宋体"/>
          <w:snapToGrid w:val="0"/>
          <w:color w:val="auto"/>
          <w:kern w:val="0"/>
          <w:position w:val="-2"/>
          <w:szCs w:val="21"/>
          <w:highlight w:val="none"/>
        </w:rPr>
        <w:t>项目</w:t>
      </w:r>
      <w:r>
        <w:rPr>
          <w:rFonts w:hint="eastAsia" w:ascii="宋体" w:hAnsi="宋体"/>
          <w:snapToGrid w:val="0"/>
          <w:color w:val="auto"/>
          <w:kern w:val="0"/>
          <w:position w:val="-2"/>
          <w:szCs w:val="21"/>
          <w:highlight w:val="none"/>
          <w:u w:val="single"/>
        </w:rPr>
        <w:t>施工</w:t>
      </w:r>
      <w:r>
        <w:rPr>
          <w:rFonts w:ascii="宋体" w:hAnsi="宋体"/>
          <w:snapToGrid w:val="0"/>
          <w:color w:val="auto"/>
          <w:kern w:val="0"/>
          <w:position w:val="-2"/>
          <w:szCs w:val="21"/>
          <w:highlight w:val="none"/>
        </w:rPr>
        <w:t>进行</w:t>
      </w:r>
      <w:r>
        <w:rPr>
          <w:rFonts w:hint="eastAsia" w:ascii="宋体" w:hAnsi="宋体"/>
          <w:snapToGrid w:val="0"/>
          <w:color w:val="auto"/>
          <w:kern w:val="0"/>
          <w:position w:val="-2"/>
          <w:szCs w:val="21"/>
          <w:highlight w:val="none"/>
        </w:rPr>
        <w:t>公开比选。</w:t>
      </w:r>
    </w:p>
    <w:p w14:paraId="33081F57">
      <w:pPr>
        <w:pStyle w:val="4"/>
        <w:spacing w:before="100" w:after="100" w:line="460" w:lineRule="exact"/>
        <w:rPr>
          <w:rFonts w:ascii="宋体" w:hAnsi="宋体"/>
          <w:snapToGrid w:val="0"/>
          <w:color w:val="auto"/>
          <w:sz w:val="28"/>
          <w:szCs w:val="28"/>
          <w:highlight w:val="none"/>
        </w:rPr>
      </w:pPr>
      <w:bookmarkStart w:id="38" w:name="_Toc16344"/>
      <w:bookmarkStart w:id="39" w:name="_Toc287620668"/>
      <w:bookmarkStart w:id="40" w:name="_Toc430530417"/>
      <w:bookmarkStart w:id="41" w:name="_Toc963"/>
      <w:bookmarkStart w:id="42" w:name="_Toc287607729"/>
      <w:bookmarkStart w:id="43" w:name="_Toc200359428"/>
      <w:bookmarkStart w:id="44" w:name="_Toc224103300"/>
      <w:bookmarkStart w:id="45" w:name="_Toc277082537"/>
      <w:bookmarkStart w:id="46" w:name="_Toc200359239"/>
      <w:bookmarkStart w:id="47" w:name="_Toc509218693"/>
      <w:bookmarkStart w:id="48" w:name="_Toc2680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rPr>
        <w:t>比选</w:t>
      </w:r>
      <w:r>
        <w:rPr>
          <w:rFonts w:ascii="宋体" w:hAnsi="宋体"/>
          <w:snapToGrid w:val="0"/>
          <w:color w:val="auto"/>
          <w:sz w:val="28"/>
          <w:szCs w:val="28"/>
          <w:highlight w:val="none"/>
        </w:rPr>
        <w:t>范围</w:t>
      </w:r>
      <w:bookmarkEnd w:id="38"/>
      <w:bookmarkEnd w:id="39"/>
      <w:bookmarkEnd w:id="40"/>
      <w:bookmarkEnd w:id="41"/>
      <w:bookmarkEnd w:id="42"/>
      <w:bookmarkEnd w:id="43"/>
      <w:bookmarkEnd w:id="44"/>
      <w:bookmarkEnd w:id="45"/>
      <w:bookmarkEnd w:id="46"/>
      <w:bookmarkEnd w:id="47"/>
      <w:bookmarkEnd w:id="48"/>
    </w:p>
    <w:p w14:paraId="30C471E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九龙坡区滩子口118号五洲世纪文化创意中心</w:t>
      </w:r>
      <w:r>
        <w:rPr>
          <w:rFonts w:hint="eastAsia" w:ascii="宋体" w:hAnsi="宋体"/>
          <w:snapToGrid w:val="0"/>
          <w:color w:val="auto"/>
          <w:kern w:val="0"/>
          <w:szCs w:val="21"/>
          <w:highlight w:val="none"/>
        </w:rPr>
        <w:t>。</w:t>
      </w:r>
    </w:p>
    <w:p w14:paraId="36B649F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rPr>
        <w:t>本次改造为第13、14层，改造面积约3398平方米</w:t>
      </w:r>
      <w:r>
        <w:rPr>
          <w:rFonts w:hint="eastAsia" w:ascii="宋体" w:hAnsi="宋体"/>
          <w:snapToGrid w:val="0"/>
          <w:color w:val="auto"/>
          <w:kern w:val="0"/>
          <w:szCs w:val="21"/>
          <w:highlight w:val="none"/>
        </w:rPr>
        <w:t>。</w:t>
      </w:r>
    </w:p>
    <w:p w14:paraId="2E61714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本次比选项目工程总投资额：约</w:t>
      </w:r>
      <w:r>
        <w:rPr>
          <w:rFonts w:hint="eastAsia" w:ascii="宋体" w:hAnsi="宋体"/>
          <w:snapToGrid w:val="0"/>
          <w:color w:val="auto"/>
          <w:kern w:val="0"/>
          <w:szCs w:val="21"/>
          <w:highlight w:val="none"/>
          <w:u w:val="single"/>
          <w:lang w:val="en-US" w:eastAsia="zh-CN"/>
        </w:rPr>
        <w:t>390</w:t>
      </w:r>
      <w:r>
        <w:rPr>
          <w:rFonts w:hint="eastAsia" w:ascii="宋体" w:hAnsi="宋体"/>
          <w:snapToGrid w:val="0"/>
          <w:color w:val="auto"/>
          <w:kern w:val="0"/>
          <w:szCs w:val="21"/>
          <w:highlight w:val="none"/>
          <w:u w:val="single"/>
        </w:rPr>
        <w:t>万元</w:t>
      </w:r>
    </w:p>
    <w:p w14:paraId="576A98BA">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本次比选项目合同估算金额：约</w:t>
      </w:r>
      <w:r>
        <w:rPr>
          <w:rFonts w:hint="eastAsia" w:ascii="宋体" w:hAnsi="宋体"/>
          <w:snapToGrid w:val="0"/>
          <w:color w:val="auto"/>
          <w:kern w:val="0"/>
          <w:szCs w:val="21"/>
          <w:highlight w:val="none"/>
          <w:u w:val="single"/>
          <w:lang w:val="en-US" w:eastAsia="zh-CN"/>
        </w:rPr>
        <w:t>361</w:t>
      </w:r>
      <w:r>
        <w:rPr>
          <w:rFonts w:hint="eastAsia" w:ascii="宋体" w:hAnsi="宋体"/>
          <w:snapToGrid w:val="0"/>
          <w:color w:val="auto"/>
          <w:kern w:val="0"/>
          <w:szCs w:val="21"/>
          <w:highlight w:val="none"/>
          <w:u w:val="single"/>
        </w:rPr>
        <w:t>万元</w:t>
      </w:r>
    </w:p>
    <w:p w14:paraId="7BC4895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2.4 比选范围：</w:t>
      </w:r>
      <w:r>
        <w:rPr>
          <w:rFonts w:hint="eastAsia" w:ascii="宋体" w:hAnsi="宋体"/>
          <w:snapToGrid w:val="0"/>
          <w:color w:val="auto"/>
          <w:kern w:val="0"/>
          <w:szCs w:val="21"/>
          <w:highlight w:val="none"/>
          <w:u w:val="single"/>
        </w:rPr>
        <w:t>施工图所示范围的全部工程内容以及比选文件中补充的工程内容、答疑资料、澄清资料、其他补遗资料等相关内容。</w:t>
      </w:r>
    </w:p>
    <w:p w14:paraId="1A71AF4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u w:val="single"/>
        </w:rPr>
        <w:t>日历天</w:t>
      </w:r>
    </w:p>
    <w:p w14:paraId="717C321C">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rPr>
        <w:t>24个月</w:t>
      </w:r>
    </w:p>
    <w:p w14:paraId="0DAFFF7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   </w:t>
      </w:r>
    </w:p>
    <w:p w14:paraId="3ADEF30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 </w:t>
      </w:r>
    </w:p>
    <w:p w14:paraId="08B2C896">
      <w:pPr>
        <w:pStyle w:val="4"/>
        <w:spacing w:before="100" w:after="100" w:line="460" w:lineRule="exact"/>
        <w:rPr>
          <w:rFonts w:ascii="宋体" w:hAnsi="宋体"/>
          <w:snapToGrid w:val="0"/>
          <w:color w:val="auto"/>
          <w:sz w:val="28"/>
          <w:szCs w:val="28"/>
          <w:highlight w:val="none"/>
        </w:rPr>
      </w:pPr>
      <w:bookmarkStart w:id="49" w:name="_Toc277082538"/>
      <w:bookmarkStart w:id="50" w:name="_Toc200359240"/>
      <w:bookmarkStart w:id="51" w:name="_Toc287620669"/>
      <w:bookmarkStart w:id="52" w:name="_Toc200359429"/>
      <w:bookmarkStart w:id="53" w:name="_Toc287607730"/>
      <w:bookmarkStart w:id="54" w:name="_Toc17698"/>
      <w:bookmarkStart w:id="55" w:name="_Toc19513"/>
      <w:bookmarkStart w:id="56" w:name="_Toc509218694"/>
      <w:bookmarkStart w:id="57" w:name="_Toc224103301"/>
      <w:bookmarkStart w:id="58" w:name="_Toc9341"/>
      <w:bookmarkStart w:id="59" w:name="_Toc430530418"/>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比选申请</w:t>
      </w:r>
      <w:r>
        <w:rPr>
          <w:rFonts w:ascii="宋体" w:hAnsi="宋体"/>
          <w:snapToGrid w:val="0"/>
          <w:color w:val="auto"/>
          <w:sz w:val="28"/>
          <w:szCs w:val="28"/>
          <w:highlight w:val="none"/>
        </w:rPr>
        <w:t>人资格要求</w:t>
      </w:r>
      <w:bookmarkEnd w:id="49"/>
      <w:bookmarkEnd w:id="50"/>
      <w:bookmarkEnd w:id="51"/>
      <w:bookmarkEnd w:id="52"/>
      <w:bookmarkEnd w:id="53"/>
      <w:bookmarkEnd w:id="54"/>
      <w:bookmarkEnd w:id="55"/>
      <w:bookmarkEnd w:id="56"/>
      <w:bookmarkEnd w:id="57"/>
      <w:bookmarkEnd w:id="58"/>
      <w:bookmarkEnd w:id="59"/>
    </w:p>
    <w:p w14:paraId="2CEAE86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人须具备</w:t>
      </w:r>
      <w:r>
        <w:rPr>
          <w:rFonts w:hint="eastAsia" w:ascii="宋体" w:hAnsi="宋体"/>
          <w:snapToGrid w:val="0"/>
          <w:color w:val="auto"/>
          <w:kern w:val="0"/>
          <w:szCs w:val="21"/>
          <w:highlight w:val="none"/>
        </w:rPr>
        <w:t>以下条件：</w:t>
      </w:r>
    </w:p>
    <w:p w14:paraId="6949105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本次比选要求比选申请人具备的资质条件：</w:t>
      </w:r>
      <w:r>
        <w:rPr>
          <w:rFonts w:hint="eastAsia" w:asciiTheme="minorEastAsia" w:hAnsiTheme="minorEastAsia" w:eastAsiaTheme="minorEastAsia" w:cstheme="minorEastAsia"/>
          <w:color w:val="auto"/>
          <w:kern w:val="0"/>
          <w:szCs w:val="21"/>
          <w:highlight w:val="none"/>
          <w:u w:val="single"/>
          <w:lang w:bidi="ar"/>
        </w:rPr>
        <w:t>具备建设行政主管部门颁发的有效的建筑工程施工总承包三级及以上资质</w:t>
      </w:r>
      <w:r>
        <w:rPr>
          <w:rFonts w:hint="eastAsia" w:ascii="宋体" w:hAnsi="宋体"/>
          <w:snapToGrid w:val="0"/>
          <w:color w:val="auto"/>
          <w:kern w:val="0"/>
          <w:szCs w:val="21"/>
          <w:highlight w:val="none"/>
        </w:rPr>
        <w:t>；</w:t>
      </w:r>
    </w:p>
    <w:p w14:paraId="7645D39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3.1.2 本次比选要求比选申请人具备的业绩条件：</w:t>
      </w:r>
      <w:r>
        <w:rPr>
          <w:rFonts w:hint="eastAsia" w:asciiTheme="minorEastAsia" w:hAnsiTheme="minorEastAsia" w:eastAsiaTheme="minorEastAsia" w:cstheme="minorEastAsia"/>
          <w:color w:val="auto"/>
          <w:kern w:val="0"/>
          <w:szCs w:val="21"/>
          <w:highlight w:val="none"/>
          <w:u w:val="single"/>
          <w:lang w:bidi="ar"/>
        </w:rPr>
        <w:t>详见比选文件第二章比选申请人须知前附表第1.4.1项内容</w:t>
      </w:r>
      <w:r>
        <w:rPr>
          <w:rFonts w:hint="eastAsia" w:asciiTheme="minorEastAsia" w:hAnsiTheme="minorEastAsia" w:eastAsiaTheme="minorEastAsia" w:cstheme="minorEastAsia"/>
          <w:color w:val="auto"/>
          <w:kern w:val="0"/>
          <w:szCs w:val="21"/>
          <w:highlight w:val="none"/>
          <w:lang w:bidi="ar"/>
        </w:rPr>
        <w:t>；</w:t>
      </w:r>
    </w:p>
    <w:p w14:paraId="62EE07B7">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3.1.3 比选申请人还应在人员、设备、资金等方面具有相应的施工能力，详见比选文件第二章比选申请人须知前附表第1.4.1项内容。</w:t>
      </w:r>
    </w:p>
    <w:p w14:paraId="5274775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rPr>
        <w:t>比选不接受</w:t>
      </w:r>
      <w:r>
        <w:rPr>
          <w:rFonts w:ascii="宋体" w:hAnsi="宋体"/>
          <w:snapToGrid w:val="0"/>
          <w:color w:val="auto"/>
          <w:kern w:val="0"/>
          <w:szCs w:val="21"/>
          <w:highlight w:val="none"/>
        </w:rPr>
        <w:t>联合体投标。</w:t>
      </w:r>
    </w:p>
    <w:p w14:paraId="6604ADB8">
      <w:pPr>
        <w:pStyle w:val="4"/>
        <w:spacing w:before="100" w:after="100" w:line="460" w:lineRule="exact"/>
        <w:rPr>
          <w:rFonts w:ascii="宋体" w:hAnsi="宋体"/>
          <w:snapToGrid w:val="0"/>
          <w:color w:val="auto"/>
          <w:sz w:val="28"/>
          <w:szCs w:val="28"/>
          <w:highlight w:val="none"/>
        </w:rPr>
      </w:pPr>
      <w:bookmarkStart w:id="60" w:name="_Toc200359241"/>
      <w:bookmarkStart w:id="61" w:name="_Toc32205"/>
      <w:bookmarkStart w:id="62" w:name="_Toc287607731"/>
      <w:bookmarkStart w:id="63" w:name="_Toc509218695"/>
      <w:bookmarkStart w:id="64" w:name="_Toc277082539"/>
      <w:bookmarkStart w:id="65" w:name="_Toc430530419"/>
      <w:bookmarkStart w:id="66" w:name="_Toc224103302"/>
      <w:bookmarkStart w:id="67" w:name="_Toc287620670"/>
      <w:bookmarkStart w:id="68" w:name="_Toc200359430"/>
      <w:bookmarkStart w:id="69" w:name="_Toc10508"/>
      <w:bookmarkStart w:id="70" w:name="_Toc31760"/>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比选</w:t>
      </w:r>
      <w:r>
        <w:rPr>
          <w:rFonts w:ascii="宋体" w:hAnsi="宋体"/>
          <w:snapToGrid w:val="0"/>
          <w:color w:val="auto"/>
          <w:sz w:val="28"/>
          <w:szCs w:val="28"/>
          <w:highlight w:val="none"/>
        </w:rPr>
        <w:t>文件的获取</w:t>
      </w:r>
      <w:bookmarkEnd w:id="60"/>
      <w:bookmarkEnd w:id="61"/>
      <w:bookmarkEnd w:id="62"/>
      <w:bookmarkEnd w:id="63"/>
      <w:bookmarkEnd w:id="64"/>
      <w:bookmarkEnd w:id="65"/>
      <w:bookmarkEnd w:id="66"/>
      <w:bookmarkEnd w:id="67"/>
      <w:bookmarkEnd w:id="68"/>
      <w:bookmarkEnd w:id="69"/>
      <w:bookmarkEnd w:id="70"/>
    </w:p>
    <w:p w14:paraId="0DA5552C">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bookmarkStart w:id="71" w:name="_Toc287620671"/>
      <w:bookmarkStart w:id="72" w:name="_Toc200359242"/>
      <w:bookmarkStart w:id="73" w:name="_Toc224103303"/>
      <w:bookmarkStart w:id="74" w:name="_Toc509218696"/>
      <w:bookmarkStart w:id="75" w:name="_Toc200359431"/>
      <w:bookmarkStart w:id="76" w:name="_Toc31570"/>
      <w:bookmarkStart w:id="77" w:name="_Toc287607732"/>
      <w:bookmarkStart w:id="78" w:name="_Toc28449"/>
      <w:bookmarkStart w:id="79" w:name="_Toc277082540"/>
      <w:bookmarkStart w:id="80" w:name="_Toc430530420"/>
      <w:bookmarkStart w:id="81" w:name="_Toc29619"/>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1  </w:t>
      </w:r>
      <w:r>
        <w:rPr>
          <w:rFonts w:ascii="宋体" w:hAnsi="宋体"/>
          <w:snapToGrid w:val="0"/>
          <w:color w:val="auto"/>
          <w:kern w:val="0"/>
          <w:szCs w:val="21"/>
          <w:highlight w:val="none"/>
        </w:rPr>
        <w:t>请</w:t>
      </w:r>
      <w:r>
        <w:rPr>
          <w:rFonts w:hint="eastAsia" w:ascii="宋体" w:hAnsi="宋体"/>
          <w:snapToGrid w:val="0"/>
          <w:color w:val="auto"/>
          <w:kern w:val="0"/>
          <w:szCs w:val="21"/>
          <w:highlight w:val="none"/>
        </w:rPr>
        <w:t>各比选申请人</w:t>
      </w:r>
      <w:r>
        <w:rPr>
          <w:rFonts w:ascii="宋体" w:hAnsi="宋体"/>
          <w:snapToGrid w:val="0"/>
          <w:color w:val="auto"/>
          <w:kern w:val="0"/>
          <w:szCs w:val="21"/>
          <w:highlight w:val="none"/>
        </w:rPr>
        <w:t>于</w:t>
      </w:r>
      <w:r>
        <w:rPr>
          <w:rFonts w:hint="eastAsia" w:ascii="宋体" w:hAnsi="宋体"/>
          <w:snapToGrid w:val="0"/>
          <w:color w:val="auto"/>
          <w:kern w:val="0"/>
          <w:szCs w:val="21"/>
          <w:highlight w:val="none"/>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14 </w:t>
      </w:r>
      <w:r>
        <w:rPr>
          <w:rFonts w:ascii="宋体" w:hAnsi="宋体"/>
          <w:snapToGrid w:val="0"/>
          <w:color w:val="auto"/>
          <w:kern w:val="0"/>
          <w:szCs w:val="21"/>
          <w:highlight w:val="none"/>
        </w:rPr>
        <w:t>日至</w:t>
      </w:r>
      <w:r>
        <w:rPr>
          <w:rFonts w:hint="eastAsia" w:ascii="宋体" w:hAnsi="宋体"/>
          <w:snapToGrid w:val="0"/>
          <w:color w:val="auto"/>
          <w:kern w:val="0"/>
          <w:szCs w:val="21"/>
          <w:highlight w:val="none"/>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16</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17:00止（北京时间）报名并购买</w:t>
      </w:r>
      <w:r>
        <w:rPr>
          <w:rFonts w:ascii="宋体" w:hAnsi="宋体"/>
          <w:snapToGrid w:val="0"/>
          <w:color w:val="auto"/>
          <w:kern w:val="0"/>
          <w:szCs w:val="21"/>
          <w:highlight w:val="none"/>
        </w:rPr>
        <w:t>比选文件</w:t>
      </w:r>
      <w:r>
        <w:rPr>
          <w:rFonts w:hint="eastAsia" w:ascii="宋体" w:hAnsi="宋体"/>
          <w:snapToGrid w:val="0"/>
          <w:color w:val="auto"/>
          <w:kern w:val="0"/>
          <w:szCs w:val="21"/>
          <w:highlight w:val="none"/>
        </w:rPr>
        <w:t>。比选申请人</w:t>
      </w:r>
      <w:r>
        <w:rPr>
          <w:rFonts w:hint="eastAsia" w:ascii="宋体" w:hAnsi="宋体"/>
          <w:snapToGrid w:val="0"/>
          <w:color w:val="auto"/>
          <w:kern w:val="0"/>
          <w:szCs w:val="21"/>
          <w:highlight w:val="none"/>
          <w:lang w:val="en-US" w:eastAsia="zh-CN"/>
        </w:rPr>
        <w:t>将</w:t>
      </w:r>
      <w:r>
        <w:rPr>
          <w:rFonts w:hint="eastAsia" w:ascii="宋体" w:hAnsi="宋体"/>
          <w:snapToGrid w:val="0"/>
          <w:color w:val="auto"/>
          <w:kern w:val="0"/>
          <w:szCs w:val="21"/>
          <w:highlight w:val="none"/>
        </w:rPr>
        <w:t>《比选文件购买登记表》（格式见</w:t>
      </w:r>
      <w:r>
        <w:rPr>
          <w:rFonts w:hint="eastAsia" w:ascii="宋体" w:hAnsi="宋体"/>
          <w:snapToGrid w:val="0"/>
          <w:color w:val="auto"/>
          <w:kern w:val="0"/>
          <w:szCs w:val="21"/>
          <w:highlight w:val="none"/>
          <w:lang w:val="en-US" w:eastAsia="zh-CN"/>
        </w:rPr>
        <w:t>本比选公告附件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填写完整加盖</w:t>
      </w:r>
      <w:r>
        <w:rPr>
          <w:rFonts w:hint="eastAsia" w:ascii="宋体" w:hAnsi="宋体"/>
          <w:snapToGrid w:val="0"/>
          <w:color w:val="auto"/>
          <w:kern w:val="0"/>
          <w:szCs w:val="21"/>
          <w:highlight w:val="none"/>
          <w:lang w:val="en-US" w:eastAsia="zh-CN"/>
        </w:rPr>
        <w:t>单位法人章</w:t>
      </w:r>
      <w:r>
        <w:rPr>
          <w:rFonts w:hint="eastAsia" w:ascii="宋体" w:hAnsi="宋体"/>
          <w:snapToGrid w:val="0"/>
          <w:color w:val="auto"/>
          <w:kern w:val="0"/>
          <w:szCs w:val="21"/>
          <w:highlight w:val="none"/>
          <w:lang w:eastAsia="zh-CN"/>
        </w:rPr>
        <w:t>后发送至指定邮箱（1004272387@qq.com ）</w:t>
      </w:r>
      <w:r>
        <w:rPr>
          <w:rFonts w:hint="eastAsia" w:ascii="宋体" w:hAnsi="宋体"/>
          <w:snapToGrid w:val="0"/>
          <w:color w:val="auto"/>
          <w:kern w:val="0"/>
          <w:szCs w:val="21"/>
          <w:highlight w:val="none"/>
          <w:lang w:val="en-US" w:eastAsia="zh-CN"/>
        </w:rPr>
        <w:t>进行报名领取本项目的比选文件等相关资料</w:t>
      </w:r>
      <w:r>
        <w:rPr>
          <w:rFonts w:hint="eastAsia" w:ascii="宋体" w:hAnsi="宋体"/>
          <w:snapToGrid w:val="0"/>
          <w:color w:val="auto"/>
          <w:kern w:val="0"/>
          <w:szCs w:val="21"/>
          <w:highlight w:val="none"/>
        </w:rPr>
        <w:t>。</w:t>
      </w:r>
    </w:p>
    <w:p w14:paraId="5DEC702F">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4.2  </w:t>
      </w:r>
      <w:r>
        <w:rPr>
          <w:rFonts w:hint="eastAsia" w:ascii="宋体" w:hAnsi="宋体"/>
          <w:snapToGrid w:val="0"/>
          <w:color w:val="auto"/>
          <w:kern w:val="0"/>
          <w:szCs w:val="21"/>
          <w:highlight w:val="none"/>
        </w:rPr>
        <w:t>比选文件</w:t>
      </w:r>
      <w:r>
        <w:rPr>
          <w:rFonts w:ascii="宋体" w:hAnsi="宋体"/>
          <w:snapToGrid w:val="0"/>
          <w:color w:val="auto"/>
          <w:kern w:val="0"/>
          <w:szCs w:val="21"/>
          <w:highlight w:val="none"/>
        </w:rPr>
        <w:t>每套售价</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00元，售后不退</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在递交比选申请文件时一并缴纳</w:t>
      </w:r>
      <w:r>
        <w:rPr>
          <w:rFonts w:ascii="宋体" w:hAnsi="宋体"/>
          <w:snapToGrid w:val="0"/>
          <w:color w:val="auto"/>
          <w:kern w:val="0"/>
          <w:szCs w:val="21"/>
          <w:highlight w:val="none"/>
        </w:rPr>
        <w:t>。</w:t>
      </w:r>
    </w:p>
    <w:p w14:paraId="62E80C7E">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.3  比选人</w:t>
      </w:r>
      <w:r>
        <w:rPr>
          <w:rFonts w:ascii="宋体" w:hAnsi="宋体"/>
          <w:snapToGrid w:val="0"/>
          <w:color w:val="auto"/>
          <w:kern w:val="0"/>
          <w:szCs w:val="21"/>
          <w:highlight w:val="none"/>
        </w:rPr>
        <w:t>将</w:t>
      </w:r>
      <w:r>
        <w:rPr>
          <w:rFonts w:hint="eastAsia" w:ascii="宋体" w:hAnsi="宋体"/>
          <w:snapToGrid w:val="0"/>
          <w:color w:val="auto"/>
          <w:kern w:val="0"/>
          <w:szCs w:val="21"/>
          <w:highlight w:val="none"/>
        </w:rPr>
        <w:t>比选文件、工程量清单、</w:t>
      </w:r>
      <w:r>
        <w:rPr>
          <w:rFonts w:ascii="宋体" w:hAnsi="宋体"/>
          <w:snapToGrid w:val="0"/>
          <w:color w:val="auto"/>
          <w:kern w:val="0"/>
          <w:szCs w:val="21"/>
          <w:highlight w:val="none"/>
        </w:rPr>
        <w:t>图纸、澄清、修改、补充通知、最高限价通知等全部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资料</w:t>
      </w:r>
      <w:r>
        <w:rPr>
          <w:rFonts w:hint="eastAsia" w:ascii="宋体" w:hAnsi="宋体"/>
          <w:snapToGrid w:val="0"/>
          <w:color w:val="auto"/>
          <w:kern w:val="0"/>
          <w:szCs w:val="21"/>
          <w:highlight w:val="none"/>
        </w:rPr>
        <w:t>以</w:t>
      </w:r>
      <w:r>
        <w:rPr>
          <w:rFonts w:ascii="宋体" w:hAnsi="宋体"/>
          <w:snapToGrid w:val="0"/>
          <w:color w:val="auto"/>
          <w:kern w:val="0"/>
          <w:szCs w:val="21"/>
          <w:highlight w:val="none"/>
        </w:rPr>
        <w:t>书面</w:t>
      </w:r>
      <w:r>
        <w:rPr>
          <w:rFonts w:hint="eastAsia" w:ascii="宋体" w:hAnsi="宋体"/>
          <w:snapToGrid w:val="0"/>
          <w:color w:val="auto"/>
          <w:kern w:val="0"/>
          <w:szCs w:val="21"/>
          <w:highlight w:val="none"/>
        </w:rPr>
        <w:t>形式</w:t>
      </w:r>
      <w:r>
        <w:rPr>
          <w:rFonts w:ascii="宋体" w:hAnsi="宋体"/>
          <w:snapToGrid w:val="0"/>
          <w:color w:val="auto"/>
          <w:kern w:val="0"/>
          <w:szCs w:val="21"/>
          <w:highlight w:val="none"/>
        </w:rPr>
        <w:t>送达所有</w:t>
      </w:r>
      <w:r>
        <w:rPr>
          <w:rFonts w:hint="eastAsia" w:ascii="宋体" w:hAnsi="宋体"/>
          <w:snapToGrid w:val="0"/>
          <w:color w:val="auto"/>
          <w:kern w:val="0"/>
          <w:szCs w:val="21"/>
          <w:highlight w:val="none"/>
        </w:rPr>
        <w:t>报名的比选申请人</w:t>
      </w:r>
      <w:r>
        <w:rPr>
          <w:rFonts w:ascii="宋体" w:hAnsi="宋体"/>
          <w:snapToGrid w:val="0"/>
          <w:color w:val="auto"/>
          <w:kern w:val="0"/>
          <w:szCs w:val="21"/>
          <w:highlight w:val="none"/>
        </w:rPr>
        <w:t>。</w:t>
      </w:r>
    </w:p>
    <w:p w14:paraId="5FA5593D">
      <w:pPr>
        <w:pStyle w:val="4"/>
        <w:spacing w:before="100" w:after="100" w:line="460" w:lineRule="exact"/>
        <w:rPr>
          <w:rFonts w:ascii="宋体" w:hAnsi="宋体"/>
          <w:snapToGrid w:val="0"/>
          <w:color w:val="auto"/>
          <w:sz w:val="28"/>
          <w:szCs w:val="28"/>
          <w:highlight w:val="none"/>
        </w:rPr>
      </w:pPr>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比选申请</w:t>
      </w:r>
      <w:r>
        <w:rPr>
          <w:rFonts w:ascii="宋体" w:hAnsi="宋体"/>
          <w:snapToGrid w:val="0"/>
          <w:color w:val="auto"/>
          <w:sz w:val="28"/>
          <w:szCs w:val="28"/>
          <w:highlight w:val="none"/>
        </w:rPr>
        <w:t>文件的递交</w:t>
      </w:r>
      <w:bookmarkEnd w:id="71"/>
      <w:bookmarkEnd w:id="72"/>
      <w:bookmarkEnd w:id="73"/>
      <w:bookmarkEnd w:id="74"/>
      <w:bookmarkEnd w:id="75"/>
      <w:bookmarkEnd w:id="76"/>
      <w:bookmarkEnd w:id="77"/>
      <w:bookmarkEnd w:id="78"/>
      <w:bookmarkEnd w:id="79"/>
      <w:bookmarkEnd w:id="80"/>
      <w:bookmarkEnd w:id="81"/>
    </w:p>
    <w:p w14:paraId="550B3DB2">
      <w:pPr>
        <w:snapToGrid w:val="0"/>
        <w:spacing w:line="360" w:lineRule="auto"/>
        <w:ind w:firstLine="420" w:firstLineChars="200"/>
        <w:textAlignment w:val="baseline"/>
        <w:rPr>
          <w:rFonts w:ascii="宋体" w:hAnsi="宋体"/>
          <w:color w:val="auto"/>
          <w:szCs w:val="21"/>
          <w:highlight w:val="none"/>
        </w:rPr>
      </w:pPr>
      <w:r>
        <w:rPr>
          <w:rFonts w:hint="eastAsia" w:ascii="宋体" w:hAnsi="宋体"/>
          <w:color w:val="auto"/>
          <w:szCs w:val="21"/>
          <w:highlight w:val="none"/>
        </w:rPr>
        <w:t>5.1</w:t>
      </w:r>
      <w:r>
        <w:rPr>
          <w:rFonts w:hint="eastAsia" w:ascii="宋体" w:hAnsi="宋体" w:cs="宋体"/>
          <w:color w:val="auto"/>
          <w:szCs w:val="21"/>
          <w:highlight w:val="none"/>
        </w:rPr>
        <w:t>比选申请文件递交的截止时间及地点：2025年</w:t>
      </w:r>
      <w:r>
        <w:rPr>
          <w:rFonts w:hint="eastAsia" w:ascii="宋体" w:hAnsi="宋体" w:cs="宋体"/>
          <w:color w:val="auto"/>
          <w:szCs w:val="21"/>
          <w:highlight w:val="none"/>
          <w:u w:val="single"/>
          <w:lang w:val="en-US" w:eastAsia="zh-CN"/>
        </w:rPr>
        <w:t>04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日14：30时, 九龙坡区渝隆大厦</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楼会议室。</w:t>
      </w:r>
    </w:p>
    <w:p w14:paraId="1220C7C2">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r>
        <w:rPr>
          <w:rFonts w:hint="eastAsia" w:ascii="宋体" w:hAnsi="宋体"/>
          <w:snapToGrid w:val="0"/>
          <w:color w:val="auto"/>
          <w:kern w:val="0"/>
          <w:szCs w:val="21"/>
          <w:highlight w:val="none"/>
        </w:rPr>
        <w:t xml:space="preserve"> </w:t>
      </w:r>
    </w:p>
    <w:p w14:paraId="337F5FE2">
      <w:pPr>
        <w:pStyle w:val="4"/>
        <w:spacing w:before="100" w:after="100" w:line="460" w:lineRule="exact"/>
        <w:rPr>
          <w:rFonts w:ascii="宋体" w:hAnsi="宋体"/>
          <w:snapToGrid w:val="0"/>
          <w:color w:val="auto"/>
          <w:sz w:val="28"/>
          <w:szCs w:val="28"/>
          <w:highlight w:val="none"/>
        </w:rPr>
      </w:pPr>
      <w:bookmarkStart w:id="82" w:name="_Toc224103304"/>
      <w:bookmarkStart w:id="83" w:name="_Toc200359243"/>
      <w:bookmarkStart w:id="84" w:name="_Toc287620672"/>
      <w:bookmarkStart w:id="85" w:name="_Toc29874"/>
      <w:bookmarkStart w:id="86" w:name="_Toc287607733"/>
      <w:bookmarkStart w:id="87" w:name="_Toc200359432"/>
      <w:bookmarkStart w:id="88" w:name="_Toc29333"/>
      <w:bookmarkStart w:id="89" w:name="_Toc8166"/>
      <w:bookmarkStart w:id="90" w:name="_Toc277082541"/>
      <w:bookmarkStart w:id="91" w:name="_Toc430530421"/>
      <w:bookmarkStart w:id="92" w:name="_Toc509218697"/>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82"/>
      <w:bookmarkEnd w:id="83"/>
      <w:bookmarkEnd w:id="84"/>
      <w:bookmarkEnd w:id="85"/>
      <w:bookmarkEnd w:id="86"/>
      <w:bookmarkEnd w:id="87"/>
      <w:bookmarkEnd w:id="88"/>
      <w:bookmarkEnd w:id="89"/>
      <w:bookmarkEnd w:id="90"/>
      <w:bookmarkEnd w:id="91"/>
      <w:bookmarkEnd w:id="92"/>
    </w:p>
    <w:p w14:paraId="5A7B5D32">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公告在</w:t>
      </w:r>
      <w:r>
        <w:rPr>
          <w:rFonts w:hint="eastAsia" w:ascii="宋体" w:hAnsi="宋体"/>
          <w:snapToGrid w:val="0"/>
          <w:color w:val="auto"/>
          <w:kern w:val="0"/>
          <w:szCs w:val="21"/>
          <w:highlight w:val="none"/>
          <w:lang w:eastAsia="zh-CN"/>
        </w:rPr>
        <w:t>https://www.cqjlp.com.cn/</w:t>
      </w:r>
      <w:r>
        <w:rPr>
          <w:rFonts w:ascii="宋体" w:hAnsi="宋体"/>
          <w:snapToGrid w:val="0"/>
          <w:color w:val="auto"/>
          <w:kern w:val="0"/>
          <w:szCs w:val="21"/>
          <w:highlight w:val="none"/>
        </w:rPr>
        <w:t>上发布。</w:t>
      </w:r>
    </w:p>
    <w:p w14:paraId="40E07A73">
      <w:pPr>
        <w:pStyle w:val="4"/>
        <w:spacing w:before="100" w:after="100" w:line="460" w:lineRule="exact"/>
        <w:rPr>
          <w:rFonts w:ascii="宋体" w:hAnsi="宋体"/>
          <w:snapToGrid w:val="0"/>
          <w:color w:val="auto"/>
          <w:sz w:val="28"/>
          <w:szCs w:val="28"/>
          <w:highlight w:val="none"/>
        </w:rPr>
      </w:pPr>
      <w:bookmarkStart w:id="93" w:name="_Toc14240"/>
      <w:bookmarkStart w:id="94" w:name="_Toc31352"/>
      <w:bookmarkStart w:id="95" w:name="_Toc224103305"/>
      <w:bookmarkStart w:id="96" w:name="_Toc287620673"/>
      <w:bookmarkStart w:id="97" w:name="_Toc287607734"/>
      <w:bookmarkStart w:id="98" w:name="_Toc277082542"/>
      <w:bookmarkStart w:id="99" w:name="_Toc22730"/>
      <w:bookmarkStart w:id="100" w:name="_Toc17007"/>
      <w:bookmarkStart w:id="101" w:name="_Toc509218698"/>
      <w:bookmarkStart w:id="102" w:name="_Toc430530422"/>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93"/>
      <w:bookmarkEnd w:id="94"/>
      <w:bookmarkStart w:id="103" w:name="_Toc589"/>
      <w:r>
        <w:rPr>
          <w:rFonts w:ascii="宋体" w:hAnsi="宋体"/>
          <w:snapToGrid w:val="0"/>
          <w:color w:val="auto"/>
          <w:sz w:val="28"/>
          <w:szCs w:val="28"/>
          <w:highlight w:val="none"/>
        </w:rPr>
        <w:t>联系方式</w:t>
      </w:r>
      <w:bookmarkEnd w:id="95"/>
      <w:bookmarkEnd w:id="96"/>
      <w:bookmarkEnd w:id="97"/>
      <w:bookmarkEnd w:id="98"/>
      <w:bookmarkEnd w:id="99"/>
      <w:bookmarkEnd w:id="100"/>
      <w:bookmarkEnd w:id="101"/>
      <w:bookmarkEnd w:id="102"/>
      <w:bookmarkEnd w:id="103"/>
    </w:p>
    <w:p w14:paraId="19110585">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比 选</w:t>
      </w:r>
      <w:r>
        <w:rPr>
          <w:rFonts w:ascii="宋体" w:hAnsi="宋体"/>
          <w:snapToGrid w:val="0"/>
          <w:color w:val="auto"/>
          <w:kern w:val="0"/>
          <w:szCs w:val="21"/>
          <w:highlight w:val="none"/>
        </w:rPr>
        <w:t xml:space="preserve"> 人：</w:t>
      </w:r>
      <w:r>
        <w:rPr>
          <w:rFonts w:hint="eastAsia" w:ascii="宋体" w:hAnsi="宋体"/>
          <w:snapToGrid w:val="0"/>
          <w:color w:val="auto"/>
          <w:kern w:val="0"/>
          <w:szCs w:val="21"/>
          <w:highlight w:val="none"/>
          <w:u w:val="single"/>
        </w:rPr>
        <w:t>重庆九龙半岛开发建设有限公司</w:t>
      </w:r>
      <w:r>
        <w:rPr>
          <w:rFonts w:ascii="宋体" w:hAnsi="宋体"/>
          <w:snapToGrid w:val="0"/>
          <w:color w:val="auto"/>
          <w:kern w:val="0"/>
          <w:szCs w:val="21"/>
          <w:highlight w:val="none"/>
        </w:rPr>
        <w:t xml:space="preserve">     </w:t>
      </w:r>
    </w:p>
    <w:p w14:paraId="29DFFD7E">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地    址：</w:t>
      </w:r>
      <w:r>
        <w:rPr>
          <w:rFonts w:hint="eastAsia" w:ascii="宋体" w:hAnsi="宋体"/>
          <w:snapToGrid w:val="0"/>
          <w:color w:val="auto"/>
          <w:kern w:val="0"/>
          <w:szCs w:val="21"/>
          <w:highlight w:val="none"/>
          <w:u w:val="single"/>
        </w:rPr>
        <w:t>九龙坡区渝隆大厦8楼</w:t>
      </w:r>
      <w:r>
        <w:rPr>
          <w:rFonts w:ascii="宋体" w:hAnsi="宋体"/>
          <w:snapToGrid w:val="0"/>
          <w:color w:val="auto"/>
          <w:kern w:val="0"/>
          <w:szCs w:val="21"/>
          <w:highlight w:val="none"/>
        </w:rPr>
        <w:t xml:space="preserve">    </w:t>
      </w:r>
    </w:p>
    <w:p w14:paraId="5B35F53C">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牟老师</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p>
    <w:p w14:paraId="6BFB045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023-68511700</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p>
    <w:p w14:paraId="2F68BF4A">
      <w:pPr>
        <w:snapToGrid w:val="0"/>
        <w:spacing w:line="500" w:lineRule="exact"/>
        <w:ind w:firstLine="420" w:firstLineChars="200"/>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rPr>
        <w:t>比选代理机构：</w:t>
      </w:r>
      <w:r>
        <w:rPr>
          <w:rFonts w:hint="eastAsia" w:ascii="宋体" w:hAnsi="宋体"/>
          <w:color w:val="auto"/>
          <w:szCs w:val="21"/>
          <w:highlight w:val="none"/>
          <w:u w:val="single"/>
          <w:lang w:eastAsia="zh-CN"/>
        </w:rPr>
        <w:t>重庆新舟项目管理有限公司</w:t>
      </w:r>
    </w:p>
    <w:p w14:paraId="08F0AFFB">
      <w:pPr>
        <w:snapToGrid w:val="0"/>
        <w:spacing w:line="500" w:lineRule="exact"/>
        <w:ind w:firstLine="420" w:firstLineChars="200"/>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重庆市璧山区璧泉街道双星大道50号1幢8-2</w:t>
      </w:r>
    </w:p>
    <w:p w14:paraId="76D316B0">
      <w:pPr>
        <w:snapToGrid w:val="0"/>
        <w:spacing w:line="50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s="宋体"/>
          <w:color w:val="auto"/>
          <w:highlight w:val="none"/>
          <w:u w:val="single"/>
          <w:lang w:val="en-US" w:eastAsia="zh-CN"/>
        </w:rPr>
        <w:t>石老师</w:t>
      </w:r>
      <w:r>
        <w:rPr>
          <w:rFonts w:hint="eastAsia" w:ascii="宋体" w:hAnsi="宋体" w:cs="宋体"/>
          <w:color w:val="auto"/>
          <w:highlight w:val="none"/>
          <w:u w:val="single"/>
        </w:rPr>
        <w:t xml:space="preserve">    </w:t>
      </w:r>
      <w:r>
        <w:rPr>
          <w:rFonts w:hint="eastAsia" w:ascii="宋体" w:hAnsi="宋体"/>
          <w:color w:val="auto"/>
          <w:szCs w:val="21"/>
          <w:highlight w:val="none"/>
        </w:rPr>
        <w:t xml:space="preserve">      </w:t>
      </w:r>
    </w:p>
    <w:p w14:paraId="04014A54">
      <w:pPr>
        <w:snapToGrid w:val="0"/>
        <w:spacing w:line="50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023-65480728</w:t>
      </w:r>
      <w:r>
        <w:rPr>
          <w:rFonts w:hint="eastAsia" w:ascii="宋体" w:hAnsi="宋体" w:cs="宋体"/>
          <w:color w:val="auto"/>
          <w:highlight w:val="none"/>
          <w:u w:val="single"/>
        </w:rPr>
        <w:t xml:space="preserve">  </w:t>
      </w:r>
    </w:p>
    <w:p w14:paraId="7FDD4C1A">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highlight w:val="none"/>
        </w:rPr>
      </w:pPr>
    </w:p>
    <w:p w14:paraId="28F44CF0">
      <w:pPr>
        <w:autoSpaceDE w:val="0"/>
        <w:autoSpaceDN w:val="0"/>
        <w:adjustRightInd w:val="0"/>
        <w:snapToGrid w:val="0"/>
        <w:spacing w:line="440" w:lineRule="exact"/>
        <w:ind w:firstLine="3906" w:firstLineChars="1860"/>
        <w:jc w:val="righ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u w:val="single"/>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1EAC10D3">
      <w:pPr>
        <w:pStyle w:val="2"/>
        <w:rPr>
          <w:color w:val="auto"/>
          <w:highlight w:val="none"/>
        </w:rPr>
      </w:pPr>
    </w:p>
    <w:p w14:paraId="13D0C04F">
      <w:pPr>
        <w:pStyle w:val="3"/>
        <w:spacing w:line="240" w:lineRule="auto"/>
        <w:jc w:val="center"/>
        <w:rPr>
          <w:color w:val="auto"/>
          <w:kern w:val="0"/>
          <w:highlight w:val="none"/>
        </w:rPr>
      </w:pPr>
      <w:bookmarkStart w:id="104" w:name="_Toc3516"/>
      <w:bookmarkStart w:id="105" w:name="_Toc13403"/>
      <w:bookmarkStart w:id="106" w:name="_Toc12254"/>
      <w:r>
        <w:rPr>
          <w:rFonts w:hint="eastAsia"/>
          <w:snapToGrid w:val="0"/>
          <w:color w:val="auto"/>
          <w:kern w:val="0"/>
          <w:highlight w:val="none"/>
        </w:rPr>
        <w:t>第二章</w:t>
      </w:r>
      <w:r>
        <w:rPr>
          <w:rFonts w:hint="eastAsia"/>
          <w:color w:val="auto"/>
          <w:kern w:val="0"/>
          <w:highlight w:val="none"/>
        </w:rPr>
        <w:t>比选申请人须知</w:t>
      </w:r>
      <w:bookmarkEnd w:id="104"/>
      <w:bookmarkEnd w:id="105"/>
      <w:bookmarkEnd w:id="106"/>
    </w:p>
    <w:p w14:paraId="2DB9BC83">
      <w:pPr>
        <w:pStyle w:val="3"/>
        <w:spacing w:line="240" w:lineRule="auto"/>
        <w:jc w:val="left"/>
        <w:rPr>
          <w:rFonts w:ascii="宋体" w:hAnsi="宋体"/>
          <w:color w:val="auto"/>
          <w:kern w:val="2"/>
          <w:sz w:val="32"/>
          <w:szCs w:val="32"/>
          <w:highlight w:val="none"/>
        </w:rPr>
      </w:pPr>
      <w:bookmarkStart w:id="107" w:name="_Toc1151"/>
      <w:bookmarkStart w:id="108" w:name="_Toc23102"/>
      <w:r>
        <w:rPr>
          <w:rFonts w:hint="eastAsia" w:ascii="宋体" w:hAnsi="宋体"/>
          <w:color w:val="auto"/>
          <w:kern w:val="2"/>
          <w:sz w:val="32"/>
          <w:szCs w:val="32"/>
          <w:highlight w:val="none"/>
        </w:rPr>
        <w:t>比选申请人须知前附表</w:t>
      </w:r>
      <w:bookmarkEnd w:id="107"/>
      <w:bookmarkEnd w:id="108"/>
    </w:p>
    <w:p w14:paraId="5505FF49">
      <w:pPr>
        <w:jc w:val="left"/>
        <w:rPr>
          <w:color w:val="auto"/>
          <w:highlight w:val="none"/>
        </w:rPr>
      </w:pPr>
      <w:r>
        <w:rPr>
          <w:rFonts w:ascii="宋体" w:hAnsi="宋体"/>
          <w:color w:val="auto"/>
          <w:szCs w:val="21"/>
          <w:highlight w:val="none"/>
        </w:rPr>
        <w:t>正文内容不允许修改。若</w:t>
      </w:r>
      <w:r>
        <w:rPr>
          <w:rFonts w:hint="eastAsia" w:ascii="宋体" w:hAnsi="宋体"/>
          <w:color w:val="auto"/>
          <w:szCs w:val="21"/>
          <w:highlight w:val="none"/>
        </w:rPr>
        <w:t>比选申请</w:t>
      </w:r>
      <w:r>
        <w:rPr>
          <w:rFonts w:ascii="宋体" w:hAnsi="宋体"/>
          <w:color w:val="auto"/>
          <w:szCs w:val="21"/>
          <w:highlight w:val="none"/>
        </w:rPr>
        <w:t>人须知前附表与正文不一致的地方，以</w:t>
      </w:r>
      <w:r>
        <w:rPr>
          <w:rFonts w:hint="eastAsia" w:ascii="宋体" w:hAnsi="宋体"/>
          <w:color w:val="auto"/>
          <w:szCs w:val="21"/>
          <w:highlight w:val="none"/>
        </w:rPr>
        <w:t>比选申请</w:t>
      </w:r>
      <w:r>
        <w:rPr>
          <w:rFonts w:ascii="宋体" w:hAnsi="宋体"/>
          <w:color w:val="auto"/>
          <w:szCs w:val="21"/>
          <w:highlight w:val="none"/>
        </w:rPr>
        <w:t>人须知前附表为准。</w:t>
      </w:r>
    </w:p>
    <w:tbl>
      <w:tblPr>
        <w:tblStyle w:val="46"/>
        <w:tblW w:w="9889"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478"/>
        <w:gridCol w:w="7442"/>
      </w:tblGrid>
      <w:tr w14:paraId="76EC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69" w:type="dxa"/>
            <w:tcBorders>
              <w:top w:val="single" w:color="auto" w:sz="4" w:space="0"/>
              <w:left w:val="single" w:color="auto" w:sz="4" w:space="0"/>
              <w:bottom w:val="single" w:color="auto" w:sz="4" w:space="0"/>
              <w:right w:val="single" w:color="auto" w:sz="4" w:space="0"/>
            </w:tcBorders>
            <w:vAlign w:val="center"/>
          </w:tcPr>
          <w:p w14:paraId="5D9A94A8">
            <w:pPr>
              <w:snapToGrid w:val="0"/>
              <w:spacing w:line="4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1478" w:type="dxa"/>
            <w:tcBorders>
              <w:top w:val="single" w:color="auto" w:sz="4" w:space="0"/>
              <w:left w:val="single" w:color="auto" w:sz="4" w:space="0"/>
              <w:bottom w:val="single" w:color="auto" w:sz="4" w:space="0"/>
              <w:right w:val="single" w:color="auto" w:sz="4" w:space="0"/>
            </w:tcBorders>
            <w:vAlign w:val="center"/>
          </w:tcPr>
          <w:p w14:paraId="168907D7">
            <w:pPr>
              <w:snapToGrid w:val="0"/>
              <w:spacing w:line="4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442" w:type="dxa"/>
            <w:tcBorders>
              <w:top w:val="single" w:color="auto" w:sz="4" w:space="0"/>
              <w:left w:val="single" w:color="auto" w:sz="4" w:space="0"/>
              <w:bottom w:val="single" w:color="auto" w:sz="4" w:space="0"/>
              <w:right w:val="single" w:color="auto" w:sz="4" w:space="0"/>
            </w:tcBorders>
            <w:vAlign w:val="center"/>
          </w:tcPr>
          <w:p w14:paraId="2444BBBE">
            <w:pPr>
              <w:snapToGrid w:val="0"/>
              <w:spacing w:line="4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编列内容</w:t>
            </w:r>
          </w:p>
        </w:tc>
      </w:tr>
      <w:tr w14:paraId="193A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0D954C75">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478" w:type="dxa"/>
            <w:tcBorders>
              <w:top w:val="single" w:color="auto" w:sz="4" w:space="0"/>
              <w:left w:val="single" w:color="auto" w:sz="4" w:space="0"/>
              <w:bottom w:val="single" w:color="auto" w:sz="4" w:space="0"/>
              <w:right w:val="single" w:color="auto" w:sz="4" w:space="0"/>
            </w:tcBorders>
            <w:vAlign w:val="center"/>
          </w:tcPr>
          <w:p w14:paraId="191444A5">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7442" w:type="dxa"/>
            <w:tcBorders>
              <w:top w:val="single" w:color="auto" w:sz="4" w:space="0"/>
              <w:left w:val="single" w:color="auto" w:sz="4" w:space="0"/>
              <w:bottom w:val="single" w:color="auto" w:sz="4" w:space="0"/>
              <w:right w:val="single" w:color="auto" w:sz="4" w:space="0"/>
            </w:tcBorders>
          </w:tcPr>
          <w:p w14:paraId="581B284F">
            <w:pPr>
              <w:spacing w:line="460" w:lineRule="exact"/>
              <w:rPr>
                <w:rFonts w:ascii="宋体" w:hAnsi="宋体"/>
                <w:color w:val="auto"/>
                <w:szCs w:val="21"/>
                <w:highlight w:val="none"/>
              </w:rPr>
            </w:pPr>
            <w:r>
              <w:rPr>
                <w:rFonts w:hint="eastAsia" w:ascii="宋体" w:hAnsi="宋体"/>
                <w:color w:val="auto"/>
                <w:szCs w:val="21"/>
                <w:highlight w:val="none"/>
              </w:rPr>
              <w:t>名称：重庆九龙半岛开发建设有限公司</w:t>
            </w:r>
          </w:p>
          <w:p w14:paraId="0D966BE2">
            <w:pPr>
              <w:spacing w:line="460" w:lineRule="exact"/>
              <w:rPr>
                <w:rFonts w:ascii="宋体" w:hAnsi="宋体"/>
                <w:color w:val="auto"/>
                <w:szCs w:val="21"/>
                <w:highlight w:val="none"/>
              </w:rPr>
            </w:pPr>
            <w:r>
              <w:rPr>
                <w:rFonts w:hint="eastAsia" w:ascii="宋体" w:hAnsi="宋体"/>
                <w:color w:val="auto"/>
                <w:szCs w:val="21"/>
                <w:highlight w:val="none"/>
              </w:rPr>
              <w:t>地址：九龙坡区渝隆大厦8楼</w:t>
            </w:r>
          </w:p>
          <w:p w14:paraId="1C8DA410">
            <w:pPr>
              <w:spacing w:line="460" w:lineRule="exact"/>
              <w:rPr>
                <w:rFonts w:ascii="宋体" w:hAnsi="宋体"/>
                <w:color w:val="auto"/>
                <w:szCs w:val="21"/>
                <w:highlight w:val="none"/>
              </w:rPr>
            </w:pPr>
            <w:r>
              <w:rPr>
                <w:rFonts w:hint="eastAsia" w:ascii="宋体" w:hAnsi="宋体"/>
                <w:color w:val="auto"/>
                <w:szCs w:val="21"/>
                <w:highlight w:val="none"/>
              </w:rPr>
              <w:t>联系人：牟老师</w:t>
            </w:r>
          </w:p>
          <w:p w14:paraId="1DA04D76">
            <w:pPr>
              <w:spacing w:line="460" w:lineRule="exact"/>
              <w:rPr>
                <w:rFonts w:ascii="宋体" w:hAnsi="宋体"/>
                <w:color w:val="auto"/>
                <w:szCs w:val="21"/>
                <w:highlight w:val="none"/>
              </w:rPr>
            </w:pPr>
            <w:r>
              <w:rPr>
                <w:rFonts w:hint="eastAsia" w:ascii="宋体" w:hAnsi="宋体"/>
                <w:color w:val="auto"/>
                <w:szCs w:val="21"/>
                <w:highlight w:val="none"/>
              </w:rPr>
              <w:t>电话：023-68511700</w:t>
            </w:r>
          </w:p>
        </w:tc>
      </w:tr>
      <w:tr w14:paraId="34D6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094DEBFE">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478" w:type="dxa"/>
            <w:tcBorders>
              <w:top w:val="single" w:color="auto" w:sz="4" w:space="0"/>
              <w:left w:val="single" w:color="auto" w:sz="4" w:space="0"/>
              <w:bottom w:val="single" w:color="auto" w:sz="4" w:space="0"/>
              <w:right w:val="single" w:color="auto" w:sz="4" w:space="0"/>
            </w:tcBorders>
            <w:vAlign w:val="center"/>
          </w:tcPr>
          <w:p w14:paraId="6D84AB2A">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7442" w:type="dxa"/>
            <w:tcBorders>
              <w:top w:val="single" w:color="auto" w:sz="4" w:space="0"/>
              <w:left w:val="single" w:color="auto" w:sz="4" w:space="0"/>
              <w:bottom w:val="single" w:color="auto" w:sz="4" w:space="0"/>
              <w:right w:val="single" w:color="auto" w:sz="4" w:space="0"/>
            </w:tcBorders>
          </w:tcPr>
          <w:p w14:paraId="012B8401">
            <w:pPr>
              <w:spacing w:line="460" w:lineRule="exact"/>
              <w:rPr>
                <w:rFonts w:hint="eastAsia" w:ascii="宋体" w:hAnsi="宋体" w:eastAsia="宋体"/>
                <w:color w:val="auto"/>
                <w:szCs w:val="21"/>
                <w:highlight w:val="none"/>
                <w:lang w:eastAsia="zh-CN"/>
              </w:rPr>
            </w:pPr>
            <w:r>
              <w:rPr>
                <w:rFonts w:hint="eastAsia" w:ascii="宋体" w:hAnsi="宋体"/>
                <w:color w:val="auto"/>
                <w:szCs w:val="21"/>
                <w:highlight w:val="none"/>
              </w:rPr>
              <w:t>比选代理机构：</w:t>
            </w:r>
            <w:r>
              <w:rPr>
                <w:rFonts w:hint="eastAsia" w:ascii="宋体" w:hAnsi="宋体"/>
                <w:color w:val="auto"/>
                <w:szCs w:val="21"/>
                <w:highlight w:val="none"/>
                <w:lang w:eastAsia="zh-CN"/>
              </w:rPr>
              <w:t>重庆新舟项目管理有限公司</w:t>
            </w:r>
          </w:p>
          <w:p w14:paraId="17C1DE2A">
            <w:pPr>
              <w:spacing w:line="46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重庆市璧山区璧泉街道双星大道50号1幢8-2</w:t>
            </w:r>
          </w:p>
          <w:p w14:paraId="2D4BD012">
            <w:pPr>
              <w:spacing w:line="460" w:lineRule="exact"/>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石</w:t>
            </w:r>
            <w:r>
              <w:rPr>
                <w:rFonts w:hint="eastAsia" w:ascii="宋体" w:hAnsi="宋体"/>
                <w:color w:val="auto"/>
                <w:szCs w:val="21"/>
                <w:highlight w:val="none"/>
              </w:rPr>
              <w:t xml:space="preserve">老师    </w:t>
            </w:r>
          </w:p>
          <w:p w14:paraId="314D3D88">
            <w:pPr>
              <w:spacing w:line="4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023-65480728</w:t>
            </w:r>
          </w:p>
        </w:tc>
      </w:tr>
      <w:tr w14:paraId="3F95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71EAB9E3">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478" w:type="dxa"/>
            <w:tcBorders>
              <w:top w:val="single" w:color="auto" w:sz="4" w:space="0"/>
              <w:left w:val="single" w:color="auto" w:sz="4" w:space="0"/>
              <w:bottom w:val="single" w:color="auto" w:sz="4" w:space="0"/>
              <w:right w:val="single" w:color="auto" w:sz="4" w:space="0"/>
            </w:tcBorders>
            <w:vAlign w:val="center"/>
          </w:tcPr>
          <w:p w14:paraId="3A9BC0AB">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442" w:type="dxa"/>
            <w:tcBorders>
              <w:top w:val="single" w:color="auto" w:sz="4" w:space="0"/>
              <w:left w:val="single" w:color="auto" w:sz="4" w:space="0"/>
              <w:bottom w:val="single" w:color="auto" w:sz="4" w:space="0"/>
              <w:right w:val="single" w:color="auto" w:sz="4" w:space="0"/>
            </w:tcBorders>
            <w:vAlign w:val="center"/>
          </w:tcPr>
          <w:p w14:paraId="495053D7">
            <w:pPr>
              <w:snapToGrid w:val="0"/>
              <w:spacing w:line="4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五洲世纪文化创意中心第13、14层改造项目</w:t>
            </w:r>
          </w:p>
        </w:tc>
      </w:tr>
      <w:tr w14:paraId="5DEE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7EBC821B">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1478" w:type="dxa"/>
            <w:tcBorders>
              <w:top w:val="single" w:color="auto" w:sz="4" w:space="0"/>
              <w:left w:val="single" w:color="auto" w:sz="4" w:space="0"/>
              <w:bottom w:val="single" w:color="auto" w:sz="4" w:space="0"/>
              <w:right w:val="single" w:color="auto" w:sz="4" w:space="0"/>
            </w:tcBorders>
            <w:vAlign w:val="center"/>
          </w:tcPr>
          <w:p w14:paraId="7B91E97B">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7442" w:type="dxa"/>
            <w:tcBorders>
              <w:top w:val="single" w:color="auto" w:sz="4" w:space="0"/>
              <w:left w:val="single" w:color="auto" w:sz="4" w:space="0"/>
              <w:bottom w:val="single" w:color="auto" w:sz="4" w:space="0"/>
              <w:right w:val="single" w:color="auto" w:sz="4" w:space="0"/>
            </w:tcBorders>
            <w:vAlign w:val="center"/>
          </w:tcPr>
          <w:p w14:paraId="60E993F0">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九龙坡区滩子口118号五洲世纪文化创意中心</w:t>
            </w:r>
          </w:p>
        </w:tc>
      </w:tr>
      <w:tr w14:paraId="4382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68C77073">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478" w:type="dxa"/>
            <w:tcBorders>
              <w:top w:val="single" w:color="auto" w:sz="4" w:space="0"/>
              <w:left w:val="single" w:color="auto" w:sz="4" w:space="0"/>
              <w:bottom w:val="single" w:color="auto" w:sz="4" w:space="0"/>
              <w:right w:val="single" w:color="auto" w:sz="4" w:space="0"/>
            </w:tcBorders>
            <w:vAlign w:val="center"/>
          </w:tcPr>
          <w:p w14:paraId="493FE3FD">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7442" w:type="dxa"/>
            <w:tcBorders>
              <w:top w:val="single" w:color="auto" w:sz="4" w:space="0"/>
              <w:left w:val="single" w:color="auto" w:sz="4" w:space="0"/>
              <w:bottom w:val="single" w:color="auto" w:sz="4" w:space="0"/>
              <w:right w:val="single" w:color="auto" w:sz="4" w:space="0"/>
            </w:tcBorders>
            <w:vAlign w:val="center"/>
          </w:tcPr>
          <w:p w14:paraId="39035F6C">
            <w:pPr>
              <w:spacing w:line="460" w:lineRule="exact"/>
              <w:rPr>
                <w:rFonts w:ascii="宋体" w:hAnsi="宋体"/>
                <w:color w:val="auto"/>
                <w:szCs w:val="21"/>
                <w:highlight w:val="none"/>
              </w:rPr>
            </w:pPr>
            <w:r>
              <w:rPr>
                <w:rFonts w:hint="eastAsia" w:ascii="宋体" w:hAnsi="宋体"/>
                <w:color w:val="auto"/>
                <w:szCs w:val="21"/>
                <w:highlight w:val="none"/>
              </w:rPr>
              <w:t>自有资金</w:t>
            </w:r>
          </w:p>
        </w:tc>
      </w:tr>
      <w:tr w14:paraId="150B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66514CBB">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478" w:type="dxa"/>
            <w:tcBorders>
              <w:top w:val="single" w:color="auto" w:sz="4" w:space="0"/>
              <w:left w:val="single" w:color="auto" w:sz="4" w:space="0"/>
              <w:bottom w:val="single" w:color="auto" w:sz="4" w:space="0"/>
              <w:right w:val="single" w:color="auto" w:sz="4" w:space="0"/>
            </w:tcBorders>
            <w:vAlign w:val="center"/>
          </w:tcPr>
          <w:p w14:paraId="6224EE94">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c>
          <w:tcPr>
            <w:tcW w:w="7442" w:type="dxa"/>
            <w:tcBorders>
              <w:top w:val="single" w:color="auto" w:sz="4" w:space="0"/>
              <w:left w:val="single" w:color="auto" w:sz="4" w:space="0"/>
              <w:bottom w:val="single" w:color="auto" w:sz="4" w:space="0"/>
              <w:right w:val="single" w:color="auto" w:sz="4" w:space="0"/>
            </w:tcBorders>
            <w:vAlign w:val="center"/>
          </w:tcPr>
          <w:p w14:paraId="176ED61F">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100%</w:t>
            </w:r>
          </w:p>
        </w:tc>
      </w:tr>
      <w:tr w14:paraId="19F6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13F1C7F1">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478" w:type="dxa"/>
            <w:tcBorders>
              <w:top w:val="single" w:color="auto" w:sz="4" w:space="0"/>
              <w:left w:val="single" w:color="auto" w:sz="4" w:space="0"/>
              <w:bottom w:val="single" w:color="auto" w:sz="4" w:space="0"/>
              <w:right w:val="single" w:color="auto" w:sz="4" w:space="0"/>
            </w:tcBorders>
            <w:vAlign w:val="center"/>
          </w:tcPr>
          <w:p w14:paraId="7D4BE46A">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7442" w:type="dxa"/>
            <w:tcBorders>
              <w:top w:val="single" w:color="auto" w:sz="4" w:space="0"/>
              <w:left w:val="single" w:color="auto" w:sz="4" w:space="0"/>
              <w:bottom w:val="single" w:color="auto" w:sz="4" w:space="0"/>
              <w:right w:val="single" w:color="auto" w:sz="4" w:space="0"/>
            </w:tcBorders>
            <w:vAlign w:val="center"/>
          </w:tcPr>
          <w:p w14:paraId="369B529B">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08B5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69" w:type="dxa"/>
            <w:tcBorders>
              <w:top w:val="single" w:color="auto" w:sz="4" w:space="0"/>
              <w:left w:val="single" w:color="auto" w:sz="4" w:space="0"/>
              <w:bottom w:val="single" w:color="auto" w:sz="4" w:space="0"/>
              <w:right w:val="single" w:color="auto" w:sz="4" w:space="0"/>
            </w:tcBorders>
            <w:vAlign w:val="center"/>
          </w:tcPr>
          <w:p w14:paraId="535D885C">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1478" w:type="dxa"/>
            <w:tcBorders>
              <w:top w:val="single" w:color="auto" w:sz="4" w:space="0"/>
              <w:left w:val="single" w:color="auto" w:sz="4" w:space="0"/>
              <w:bottom w:val="single" w:color="auto" w:sz="4" w:space="0"/>
              <w:right w:val="single" w:color="auto" w:sz="4" w:space="0"/>
            </w:tcBorders>
            <w:vAlign w:val="center"/>
          </w:tcPr>
          <w:p w14:paraId="58312AA5">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比选范围</w:t>
            </w:r>
          </w:p>
        </w:tc>
        <w:tc>
          <w:tcPr>
            <w:tcW w:w="7442" w:type="dxa"/>
            <w:tcBorders>
              <w:top w:val="single" w:color="auto" w:sz="4" w:space="0"/>
              <w:left w:val="single" w:color="auto" w:sz="4" w:space="0"/>
              <w:bottom w:val="single" w:color="auto" w:sz="4" w:space="0"/>
              <w:right w:val="single" w:color="auto" w:sz="4" w:space="0"/>
            </w:tcBorders>
            <w:vAlign w:val="center"/>
          </w:tcPr>
          <w:p w14:paraId="0AE6FAA4">
            <w:pPr>
              <w:snapToGrid w:val="0"/>
              <w:spacing w:line="460" w:lineRule="exact"/>
              <w:rPr>
                <w:color w:val="auto"/>
                <w:szCs w:val="21"/>
                <w:highlight w:val="none"/>
              </w:rPr>
            </w:pPr>
            <w:r>
              <w:rPr>
                <w:rFonts w:hint="eastAsia"/>
                <w:color w:val="auto"/>
                <w:szCs w:val="21"/>
                <w:highlight w:val="none"/>
              </w:rPr>
              <w:t>施工图所示范围的全部工程内容以及比选比选文件中补充的工程内容、答疑资料、澄清资料、其他补遗资料等相关内容。</w:t>
            </w:r>
          </w:p>
        </w:tc>
      </w:tr>
      <w:tr w14:paraId="4484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53D48579">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1478" w:type="dxa"/>
            <w:tcBorders>
              <w:top w:val="single" w:color="auto" w:sz="4" w:space="0"/>
              <w:left w:val="single" w:color="auto" w:sz="4" w:space="0"/>
              <w:bottom w:val="single" w:color="auto" w:sz="4" w:space="0"/>
              <w:right w:val="single" w:color="auto" w:sz="4" w:space="0"/>
            </w:tcBorders>
            <w:vAlign w:val="center"/>
          </w:tcPr>
          <w:p w14:paraId="6BE7BF02">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工期</w:t>
            </w:r>
          </w:p>
          <w:p w14:paraId="7CDD107D">
            <w:pPr>
              <w:pStyle w:val="2"/>
              <w:spacing w:after="0" w:line="460" w:lineRule="exact"/>
              <w:ind w:firstLine="210" w:firstLineChars="100"/>
              <w:rPr>
                <w:color w:val="auto"/>
                <w:highlight w:val="none"/>
              </w:rPr>
            </w:pPr>
            <w:r>
              <w:rPr>
                <w:rFonts w:hint="eastAsia" w:ascii="宋体" w:hAnsi="宋体"/>
                <w:color w:val="auto"/>
                <w:kern w:val="0"/>
                <w:szCs w:val="21"/>
                <w:highlight w:val="none"/>
              </w:rPr>
              <w:t>缺陷责任期</w:t>
            </w:r>
          </w:p>
        </w:tc>
        <w:tc>
          <w:tcPr>
            <w:tcW w:w="7442" w:type="dxa"/>
            <w:tcBorders>
              <w:top w:val="single" w:color="auto" w:sz="4" w:space="0"/>
              <w:left w:val="single" w:color="auto" w:sz="4" w:space="0"/>
              <w:bottom w:val="single" w:color="auto" w:sz="4" w:space="0"/>
              <w:right w:val="single" w:color="auto" w:sz="4" w:space="0"/>
            </w:tcBorders>
            <w:vAlign w:val="center"/>
          </w:tcPr>
          <w:p w14:paraId="4FBEA727">
            <w:pPr>
              <w:snapToGrid w:val="0"/>
              <w:spacing w:line="460" w:lineRule="exact"/>
              <w:rPr>
                <w:rFonts w:ascii="宋体" w:hAnsi="宋体" w:cs="MingLiU"/>
                <w:snapToGrid w:val="0"/>
                <w:color w:val="auto"/>
                <w:kern w:val="0"/>
                <w:szCs w:val="21"/>
                <w:highlight w:val="none"/>
              </w:rPr>
            </w:pPr>
            <w:r>
              <w:rPr>
                <w:rFonts w:hint="eastAsia" w:ascii="宋体" w:hAnsi="宋体" w:cs="宋体"/>
                <w:color w:val="auto"/>
                <w:kern w:val="0"/>
                <w:szCs w:val="21"/>
                <w:highlight w:val="none"/>
              </w:rPr>
              <w:t xml:space="preserve">  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u w:val="single"/>
              </w:rPr>
              <w:t xml:space="preserve"> </w:t>
            </w:r>
            <w:r>
              <w:rPr>
                <w:rFonts w:hint="eastAsia" w:ascii="宋体" w:hAnsi="宋体" w:cs="MingLiU"/>
                <w:snapToGrid w:val="0"/>
                <w:color w:val="auto"/>
                <w:kern w:val="0"/>
                <w:szCs w:val="21"/>
                <w:highlight w:val="none"/>
              </w:rPr>
              <w:t>日历天。</w:t>
            </w:r>
          </w:p>
          <w:p w14:paraId="342259AF">
            <w:pPr>
              <w:pStyle w:val="2"/>
              <w:spacing w:after="0" w:line="460" w:lineRule="exact"/>
              <w:ind w:firstLine="210" w:firstLineChars="100"/>
              <w:rPr>
                <w:color w:val="auto"/>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24个月</w:t>
            </w:r>
          </w:p>
        </w:tc>
      </w:tr>
      <w:tr w14:paraId="661C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660D8B3E">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478" w:type="dxa"/>
            <w:tcBorders>
              <w:top w:val="single" w:color="auto" w:sz="4" w:space="0"/>
              <w:left w:val="single" w:color="auto" w:sz="4" w:space="0"/>
              <w:bottom w:val="single" w:color="auto" w:sz="4" w:space="0"/>
              <w:right w:val="single" w:color="auto" w:sz="4" w:space="0"/>
            </w:tcBorders>
            <w:vAlign w:val="center"/>
          </w:tcPr>
          <w:p w14:paraId="1138F569">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442" w:type="dxa"/>
            <w:tcBorders>
              <w:top w:val="single" w:color="auto" w:sz="4" w:space="0"/>
              <w:left w:val="single" w:color="auto" w:sz="4" w:space="0"/>
              <w:bottom w:val="single" w:color="auto" w:sz="4" w:space="0"/>
              <w:right w:val="single" w:color="auto" w:sz="4" w:space="0"/>
            </w:tcBorders>
            <w:vAlign w:val="center"/>
          </w:tcPr>
          <w:p w14:paraId="1414A532">
            <w:pPr>
              <w:snapToGrid w:val="0"/>
              <w:spacing w:line="460" w:lineRule="exact"/>
              <w:rPr>
                <w:color w:val="auto"/>
                <w:szCs w:val="21"/>
                <w:highlight w:val="none"/>
              </w:rPr>
            </w:pPr>
            <w:r>
              <w:rPr>
                <w:rFonts w:hint="eastAsia"/>
                <w:color w:val="auto"/>
                <w:szCs w:val="21"/>
                <w:highlight w:val="none"/>
              </w:rPr>
              <w:t>达到国家现行有关施工质量验收规范要求，并达到合格标准。</w:t>
            </w:r>
          </w:p>
        </w:tc>
      </w:tr>
      <w:tr w14:paraId="1594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1903AB59">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tc>
        <w:tc>
          <w:tcPr>
            <w:tcW w:w="1478" w:type="dxa"/>
            <w:tcBorders>
              <w:top w:val="single" w:color="auto" w:sz="4" w:space="0"/>
              <w:left w:val="single" w:color="auto" w:sz="4" w:space="0"/>
              <w:bottom w:val="single" w:color="auto" w:sz="4" w:space="0"/>
              <w:right w:val="single" w:color="auto" w:sz="4" w:space="0"/>
            </w:tcBorders>
            <w:vAlign w:val="center"/>
          </w:tcPr>
          <w:p w14:paraId="514F176B">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比选申请人资格条件、能力和信誉</w:t>
            </w:r>
          </w:p>
        </w:tc>
        <w:tc>
          <w:tcPr>
            <w:tcW w:w="7442" w:type="dxa"/>
            <w:tcBorders>
              <w:top w:val="single" w:color="auto" w:sz="4" w:space="0"/>
              <w:left w:val="single" w:color="auto" w:sz="4" w:space="0"/>
              <w:bottom w:val="single" w:color="auto" w:sz="4" w:space="0"/>
              <w:right w:val="single" w:color="auto" w:sz="4" w:space="0"/>
            </w:tcBorders>
            <w:vAlign w:val="center"/>
          </w:tcPr>
          <w:p w14:paraId="279B13F0">
            <w:pPr>
              <w:spacing w:line="460" w:lineRule="exact"/>
              <w:ind w:firstLine="435"/>
              <w:rPr>
                <w:rFonts w:ascii="宋体" w:hAnsi="宋体"/>
                <w:color w:val="auto"/>
                <w:szCs w:val="21"/>
                <w:highlight w:val="none"/>
              </w:rPr>
            </w:pPr>
            <w:r>
              <w:rPr>
                <w:rFonts w:hint="eastAsia" w:ascii="宋体" w:hAnsi="宋体"/>
                <w:color w:val="auto"/>
                <w:szCs w:val="21"/>
                <w:highlight w:val="none"/>
              </w:rPr>
              <w:t>本工程施工比选实行资格后审，比选申请人应具备以下资格条件：</w:t>
            </w:r>
          </w:p>
          <w:p w14:paraId="706855E5">
            <w:pPr>
              <w:spacing w:line="460" w:lineRule="exact"/>
              <w:ind w:firstLine="435"/>
              <w:rPr>
                <w:rFonts w:ascii="宋体" w:hAnsi="宋体"/>
                <w:b/>
                <w:bCs/>
                <w:color w:val="auto"/>
                <w:szCs w:val="21"/>
                <w:highlight w:val="none"/>
              </w:rPr>
            </w:pPr>
            <w:r>
              <w:rPr>
                <w:rFonts w:hint="eastAsia" w:ascii="宋体" w:hAnsi="宋体"/>
                <w:b/>
                <w:bCs/>
                <w:color w:val="auto"/>
                <w:szCs w:val="21"/>
                <w:highlight w:val="none"/>
              </w:rPr>
              <w:t>1.</w:t>
            </w:r>
            <w:r>
              <w:rPr>
                <w:rFonts w:ascii="宋体" w:hAnsi="宋体"/>
                <w:b/>
                <w:color w:val="auto"/>
                <w:szCs w:val="21"/>
                <w:highlight w:val="none"/>
              </w:rPr>
              <w:t xml:space="preserve"> 资质条件、营业执照及安全生产条件</w:t>
            </w:r>
          </w:p>
          <w:p w14:paraId="7122EFEF">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（1）具备有效的营业执照。</w:t>
            </w:r>
          </w:p>
          <w:p w14:paraId="100BCDFB">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比选申请人须在比选申请文件资格审查部分提供有效的营业执照复印件。注：不得将比选申请人营业执照记载的经营范围作为评审因素。</w:t>
            </w:r>
          </w:p>
          <w:p w14:paraId="39FC6D06">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具备建设行政主管部门颁发的有效的</w:t>
            </w:r>
            <w:r>
              <w:rPr>
                <w:rFonts w:hint="eastAsia" w:ascii="宋体" w:hAnsi="宋体"/>
                <w:color w:val="auto"/>
                <w:szCs w:val="21"/>
                <w:highlight w:val="none"/>
                <w:u w:val="single"/>
              </w:rPr>
              <w:t>建筑工程施工总承包三级及以上资质</w:t>
            </w:r>
            <w:r>
              <w:rPr>
                <w:rFonts w:ascii="宋体" w:hAnsi="宋体"/>
                <w:color w:val="auto"/>
                <w:szCs w:val="21"/>
                <w:highlight w:val="none"/>
              </w:rPr>
              <w:t>。</w:t>
            </w:r>
          </w:p>
          <w:p w14:paraId="5F522B70">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比选申请人</w:t>
            </w:r>
            <w:r>
              <w:rPr>
                <w:rFonts w:ascii="宋体" w:hAnsi="宋体"/>
                <w:color w:val="auto"/>
                <w:szCs w:val="21"/>
                <w:highlight w:val="none"/>
              </w:rPr>
              <w:t>须</w:t>
            </w:r>
            <w:r>
              <w:rPr>
                <w:rFonts w:hint="eastAsia" w:ascii="宋体" w:hAnsi="宋体"/>
                <w:color w:val="auto"/>
                <w:szCs w:val="21"/>
                <w:highlight w:val="none"/>
              </w:rPr>
              <w:t>在比选申请文件资格审查部分</w:t>
            </w:r>
            <w:r>
              <w:rPr>
                <w:rFonts w:ascii="宋体" w:hAnsi="宋体"/>
                <w:color w:val="auto"/>
                <w:szCs w:val="21"/>
                <w:highlight w:val="none"/>
              </w:rPr>
              <w:t>提供</w:t>
            </w:r>
            <w:r>
              <w:rPr>
                <w:rFonts w:hint="eastAsia" w:ascii="宋体" w:hAnsi="宋体"/>
                <w:color w:val="auto"/>
                <w:szCs w:val="21"/>
                <w:highlight w:val="none"/>
              </w:rPr>
              <w:t>有效的资质证书复印件</w:t>
            </w:r>
            <w:r>
              <w:rPr>
                <w:rFonts w:ascii="宋体" w:hAnsi="宋体"/>
                <w:color w:val="auto"/>
                <w:szCs w:val="21"/>
                <w:highlight w:val="none"/>
              </w:rPr>
              <w:t>。</w:t>
            </w:r>
          </w:p>
          <w:p w14:paraId="02D98877">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（3）具备建设行政主管部门颁发的有效的安全生产许可证，企业主要负责人、拟担任该项目项目经理具备相应的由建设行政主管部门颁发的有效的安全生产考核合格证书。</w:t>
            </w:r>
          </w:p>
          <w:p w14:paraId="64B95D9A">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比选申请人须在比选申请文件资格审查部分提供有效的安全生产许可证及安全生产考核合格证书。</w:t>
            </w:r>
          </w:p>
          <w:p w14:paraId="71963DD6">
            <w:pPr>
              <w:pStyle w:val="2"/>
              <w:spacing w:after="0"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2.业绩要求</w:t>
            </w:r>
          </w:p>
          <w:p w14:paraId="2D66898A">
            <w:pPr>
              <w:pStyle w:val="2"/>
              <w:spacing w:after="0"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无</w:t>
            </w:r>
          </w:p>
          <w:p w14:paraId="2098850A">
            <w:pPr>
              <w:spacing w:line="460" w:lineRule="exact"/>
              <w:ind w:firstLine="435"/>
              <w:rPr>
                <w:rFonts w:ascii="宋体" w:hAnsi="宋体"/>
                <w:b/>
                <w:bCs/>
                <w:color w:val="auto"/>
                <w:szCs w:val="21"/>
                <w:highlight w:val="none"/>
              </w:rPr>
            </w:pPr>
            <w:r>
              <w:rPr>
                <w:rFonts w:hint="eastAsia" w:ascii="宋体" w:hAnsi="宋体"/>
                <w:b/>
                <w:bCs/>
                <w:color w:val="auto"/>
                <w:szCs w:val="21"/>
                <w:highlight w:val="none"/>
              </w:rPr>
              <w:t>3.项目经理</w:t>
            </w:r>
            <w:r>
              <w:rPr>
                <w:rFonts w:ascii="宋体" w:hAnsi="宋体"/>
                <w:b/>
                <w:color w:val="auto"/>
                <w:szCs w:val="21"/>
                <w:highlight w:val="none"/>
              </w:rPr>
              <w:t>资格要求</w:t>
            </w:r>
          </w:p>
          <w:p w14:paraId="14EDDBAD">
            <w:pPr>
              <w:pStyle w:val="45"/>
              <w:spacing w:after="0" w:line="460" w:lineRule="exact"/>
              <w:rPr>
                <w:rFonts w:hAnsi="宋体" w:eastAsia="宋体"/>
                <w:color w:val="auto"/>
                <w:sz w:val="21"/>
                <w:szCs w:val="21"/>
                <w:highlight w:val="none"/>
              </w:rPr>
            </w:pPr>
            <w:r>
              <w:rPr>
                <w:rFonts w:hint="eastAsia" w:hAnsi="宋体" w:eastAsia="宋体"/>
                <w:color w:val="auto"/>
                <w:sz w:val="21"/>
                <w:szCs w:val="21"/>
                <w:highlight w:val="none"/>
              </w:rPr>
              <w:t>比选申请人拟派的项目经理必须已在比选申请人本单位注册并应具有</w:t>
            </w:r>
            <w:r>
              <w:rPr>
                <w:rFonts w:hint="eastAsia" w:hAnsi="宋体" w:eastAsia="宋体"/>
                <w:color w:val="auto"/>
                <w:sz w:val="21"/>
                <w:szCs w:val="21"/>
                <w:highlight w:val="none"/>
                <w:u w:val="single"/>
              </w:rPr>
              <w:t>建筑工程</w:t>
            </w:r>
            <w:r>
              <w:rPr>
                <w:rFonts w:hint="eastAsia" w:hAnsi="宋体" w:eastAsia="宋体"/>
                <w:color w:val="auto"/>
                <w:sz w:val="21"/>
                <w:szCs w:val="21"/>
                <w:highlight w:val="none"/>
              </w:rPr>
              <w:t>专业</w:t>
            </w:r>
            <w:r>
              <w:rPr>
                <w:rFonts w:hint="eastAsia" w:hAnsi="宋体" w:eastAsia="宋体"/>
                <w:color w:val="auto"/>
                <w:sz w:val="21"/>
                <w:szCs w:val="21"/>
                <w:highlight w:val="none"/>
                <w:u w:val="single"/>
              </w:rPr>
              <w:t>二级</w:t>
            </w:r>
            <w:r>
              <w:rPr>
                <w:rFonts w:hint="eastAsia" w:hAnsi="宋体" w:eastAsia="宋体"/>
                <w:color w:val="auto"/>
                <w:sz w:val="21"/>
                <w:szCs w:val="21"/>
                <w:highlight w:val="none"/>
              </w:rPr>
              <w:t>及以上注册建造师执业资格，应为比选申请人本单位人员，并做出到岗履职的承诺（自行承诺拟派项目经理中标后只能在本项目任职，签订合同时拟派的项目经理必须与比选申请文件中的项目经理一致，并满足办理施工许可手续的相关要求。不能按承诺到岗履约的，按合同相关条款处罚并上报行政主管部门，给比选人造成损失的，比选申请人依法承担违约赔偿责任）和未被禁止参与投标的承诺（自行承诺拟派项目经理未被</w:t>
            </w:r>
            <w:r>
              <w:rPr>
                <w:rFonts w:hAnsi="宋体" w:eastAsia="宋体"/>
                <w:color w:val="auto"/>
                <w:sz w:val="21"/>
                <w:szCs w:val="21"/>
                <w:highlight w:val="none"/>
              </w:rPr>
              <w:t>重庆市</w:t>
            </w:r>
            <w:r>
              <w:rPr>
                <w:rFonts w:hint="eastAsia" w:hAnsi="宋体" w:eastAsia="宋体"/>
                <w:color w:val="auto"/>
                <w:sz w:val="21"/>
                <w:szCs w:val="21"/>
                <w:highlight w:val="none"/>
              </w:rPr>
              <w:t>市级有关行业</w:t>
            </w:r>
            <w:r>
              <w:rPr>
                <w:rFonts w:hAnsi="宋体" w:eastAsia="宋体"/>
                <w:color w:val="auto"/>
                <w:sz w:val="21"/>
                <w:szCs w:val="21"/>
                <w:highlight w:val="none"/>
              </w:rPr>
              <w:t>主管部门暂停在渝承揽新业务</w:t>
            </w:r>
            <w:r>
              <w:rPr>
                <w:rFonts w:hint="eastAsia" w:hAnsi="宋体" w:eastAsia="宋体"/>
                <w:color w:val="auto"/>
                <w:sz w:val="21"/>
                <w:szCs w:val="21"/>
                <w:highlight w:val="none"/>
              </w:rPr>
              <w:t>。若被暂停在渝承揽新业务但仍参加投标，将被否决投标；已取得中选候选人资格或中选资格的，比选人有权取消其中选候选人资格或中选资格；给比选人造成损失的，比选申请人依法承担违约赔偿责任）。未提供上述承诺或承诺内容不符合要求的，由评标委员会作否决投标处理。拟派项目经理中选后不得随意更换。</w:t>
            </w:r>
          </w:p>
          <w:p w14:paraId="34C75E97">
            <w:pPr>
              <w:spacing w:line="460" w:lineRule="exact"/>
              <w:ind w:firstLine="435"/>
              <w:rPr>
                <w:rFonts w:hint="eastAsia" w:ascii="宋体" w:hAnsi="宋体"/>
                <w:color w:val="auto"/>
                <w:szCs w:val="21"/>
                <w:highlight w:val="none"/>
              </w:rPr>
            </w:pPr>
            <w:r>
              <w:rPr>
                <w:rFonts w:hint="eastAsia" w:ascii="宋体" w:hAnsi="宋体"/>
                <w:color w:val="auto"/>
                <w:kern w:val="0"/>
                <w:szCs w:val="21"/>
                <w:highlight w:val="none"/>
              </w:rPr>
              <w:t>比选申请人须在比选申请文件资格审查部分提供有效的拟派项目经理建造师注册证、</w:t>
            </w:r>
            <w:r>
              <w:rPr>
                <w:rFonts w:hint="eastAsia" w:ascii="宋体" w:hAnsi="宋体"/>
                <w:color w:val="auto"/>
                <w:szCs w:val="21"/>
                <w:highlight w:val="none"/>
              </w:rPr>
              <w:t>身份证、比选申请人本单位为其缴纳的养老保险证明材料复印件，拟派项目经理到岗履职和未被禁止参与投标的承诺（承诺格式见第八章比选申请文件格式）。</w:t>
            </w:r>
          </w:p>
          <w:p w14:paraId="3C601DF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注：（1）提供拟派的项目经理为一级建造师或重庆市二级建造师注册人员的，必须提供建造师电子注册证书，且该建造师电子注册证书须由建造师本人在个人签名处手写本人签名。</w:t>
            </w:r>
          </w:p>
          <w:p w14:paraId="01D7CFF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（2）重庆市以外的省级住房城乡建设主管部门对二级建造师电子注册证书使用有明确规定的，从其规定。未规定使用电子注册证书的，可提供纸质证书扫描件。</w:t>
            </w:r>
          </w:p>
          <w:p w14:paraId="5D5F12EB">
            <w:pPr>
              <w:snapToGrid w:val="0"/>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（3）建造师电子注册证书本人手写签名与签名图像笔迹是否一致不作为否决投标的情形。</w:t>
            </w:r>
          </w:p>
          <w:p w14:paraId="76939FAE">
            <w:pPr>
              <w:spacing w:line="460" w:lineRule="exact"/>
              <w:ind w:firstLine="435"/>
              <w:rPr>
                <w:rFonts w:ascii="宋体" w:hAnsi="宋体"/>
                <w:b/>
                <w:bCs/>
                <w:color w:val="auto"/>
                <w:szCs w:val="21"/>
                <w:highlight w:val="none"/>
              </w:rPr>
            </w:pPr>
            <w:r>
              <w:rPr>
                <w:rFonts w:hint="eastAsia" w:ascii="宋体" w:hAnsi="宋体"/>
                <w:b/>
                <w:bCs/>
                <w:color w:val="auto"/>
                <w:szCs w:val="21"/>
                <w:highlight w:val="none"/>
              </w:rPr>
              <w:t>4.其他要求</w:t>
            </w:r>
          </w:p>
          <w:p w14:paraId="3BBB1EE8">
            <w:pPr>
              <w:spacing w:line="460" w:lineRule="exact"/>
              <w:ind w:firstLine="435"/>
              <w:rPr>
                <w:rFonts w:ascii="宋体" w:hAnsi="宋体"/>
                <w:color w:val="auto"/>
                <w:szCs w:val="21"/>
                <w:highlight w:val="none"/>
              </w:rPr>
            </w:pPr>
            <w:r>
              <w:rPr>
                <w:rFonts w:hint="eastAsia" w:ascii="宋体" w:hAnsi="宋体"/>
                <w:color w:val="auto"/>
                <w:szCs w:val="21"/>
                <w:highlight w:val="none"/>
              </w:rPr>
              <w:t>(1) 项目技术负责人：</w:t>
            </w:r>
          </w:p>
          <w:p w14:paraId="217BE621">
            <w:pPr>
              <w:spacing w:line="460" w:lineRule="exact"/>
              <w:ind w:firstLine="435"/>
              <w:rPr>
                <w:rFonts w:ascii="宋体" w:hAnsi="宋体"/>
                <w:color w:val="auto"/>
                <w:szCs w:val="21"/>
                <w:highlight w:val="none"/>
              </w:rPr>
            </w:pPr>
            <w:r>
              <w:rPr>
                <w:rFonts w:hint="eastAsia" w:ascii="宋体" w:hAnsi="宋体"/>
                <w:color w:val="auto"/>
                <w:szCs w:val="21"/>
                <w:highlight w:val="none"/>
              </w:rPr>
              <w:t>应具有</w:t>
            </w:r>
            <w:r>
              <w:rPr>
                <w:rFonts w:hint="eastAsia" w:ascii="宋体" w:hAnsi="宋体"/>
                <w:color w:val="auto"/>
                <w:szCs w:val="21"/>
                <w:highlight w:val="none"/>
                <w:u w:val="single"/>
              </w:rPr>
              <w:t>工程类中</w:t>
            </w:r>
            <w:r>
              <w:rPr>
                <w:rFonts w:ascii="宋体" w:hAnsi="宋体"/>
                <w:color w:val="auto"/>
                <w:szCs w:val="21"/>
                <w:highlight w:val="none"/>
                <w:u w:val="single"/>
              </w:rPr>
              <w:t>级及以上</w:t>
            </w:r>
            <w:r>
              <w:rPr>
                <w:rFonts w:ascii="宋体" w:hAnsi="宋体"/>
                <w:color w:val="auto"/>
                <w:szCs w:val="21"/>
                <w:highlight w:val="none"/>
              </w:rPr>
              <w:t>职称</w:t>
            </w:r>
            <w:r>
              <w:rPr>
                <w:rFonts w:hint="eastAsia" w:ascii="宋体" w:hAnsi="宋体"/>
                <w:color w:val="auto"/>
                <w:szCs w:val="21"/>
                <w:highlight w:val="none"/>
              </w:rPr>
              <w:t>，应为比选申请人本单位人员。</w:t>
            </w:r>
          </w:p>
          <w:p w14:paraId="2F2A4AE0">
            <w:pPr>
              <w:autoSpaceDE w:val="0"/>
              <w:autoSpaceDN w:val="0"/>
              <w:adjustRightInd w:val="0"/>
              <w:snapToGrid w:val="0"/>
              <w:spacing w:line="460" w:lineRule="exact"/>
              <w:ind w:firstLine="420" w:firstLineChars="200"/>
              <w:rPr>
                <w:rFonts w:ascii="宋体" w:hAnsi="宋体"/>
                <w:color w:val="auto"/>
                <w:spacing w:val="-24"/>
                <w:kern w:val="0"/>
                <w:highlight w:val="none"/>
              </w:rPr>
            </w:pPr>
            <w:r>
              <w:rPr>
                <w:rFonts w:hint="eastAsia" w:ascii="宋体" w:hAnsi="宋体"/>
                <w:color w:val="auto"/>
                <w:kern w:val="0"/>
                <w:highlight w:val="none"/>
              </w:rPr>
              <w:t>比选申请人须在比选申请文件资格审查部分提供拟派技术负责人身份证、职称证及比选申请人本单位为其缴纳的养老保险证明材料复印件。</w:t>
            </w:r>
          </w:p>
          <w:p w14:paraId="4A05BA2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(2)主要管理人员：</w:t>
            </w:r>
          </w:p>
          <w:p w14:paraId="51FCAF5B">
            <w:pPr>
              <w:spacing w:line="460" w:lineRule="exact"/>
              <w:ind w:firstLine="435"/>
              <w:rPr>
                <w:rFonts w:ascii="宋体" w:hAnsi="宋体"/>
                <w:color w:val="auto"/>
                <w:szCs w:val="21"/>
                <w:highlight w:val="none"/>
              </w:rPr>
            </w:pPr>
            <w:r>
              <w:rPr>
                <w:rFonts w:hint="eastAsia" w:ascii="宋体" w:hAnsi="宋体"/>
                <w:color w:val="auto"/>
                <w:szCs w:val="21"/>
                <w:highlight w:val="none"/>
              </w:rPr>
              <w:t>比选申请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比选申请人为其缴纳的养老保险证明材料。中选后不能满足该要求的，取消其中选资格，给比选人造成损失的，比选申请人依法承担违约赔偿责任。</w:t>
            </w:r>
          </w:p>
          <w:p w14:paraId="4579BB2D">
            <w:pPr>
              <w:spacing w:line="460" w:lineRule="exact"/>
              <w:ind w:firstLine="435"/>
              <w:rPr>
                <w:rFonts w:ascii="宋体" w:hAnsi="宋体"/>
                <w:color w:val="auto"/>
                <w:szCs w:val="21"/>
                <w:highlight w:val="none"/>
              </w:rPr>
            </w:pPr>
            <w:r>
              <w:rPr>
                <w:rFonts w:hint="eastAsia" w:ascii="宋体" w:hAnsi="宋体"/>
                <w:color w:val="auto"/>
                <w:szCs w:val="21"/>
                <w:highlight w:val="none"/>
              </w:rPr>
              <w:t>比选申请人须在比选申请文件资格审查部分提供承诺（承诺格式见第八章比选申请文件格式）。</w:t>
            </w:r>
          </w:p>
          <w:p w14:paraId="0FFEA7E6">
            <w:pPr>
              <w:spacing w:line="460" w:lineRule="exact"/>
              <w:ind w:firstLine="435"/>
              <w:rPr>
                <w:rFonts w:ascii="宋体" w:hAnsi="宋体"/>
                <w:color w:val="auto"/>
                <w:szCs w:val="21"/>
                <w:highlight w:val="none"/>
              </w:rPr>
            </w:pPr>
            <w:r>
              <w:rPr>
                <w:rFonts w:hint="eastAsia" w:ascii="宋体" w:hAnsi="宋体"/>
                <w:color w:val="auto"/>
                <w:szCs w:val="21"/>
                <w:highlight w:val="none"/>
              </w:rPr>
              <w:t>（3）委托代理人：</w:t>
            </w:r>
          </w:p>
          <w:p w14:paraId="3A1E278A">
            <w:pPr>
              <w:spacing w:line="460" w:lineRule="exact"/>
              <w:ind w:firstLine="435"/>
              <w:rPr>
                <w:rFonts w:ascii="宋体" w:hAnsi="宋体"/>
                <w:color w:val="auto"/>
                <w:szCs w:val="21"/>
                <w:highlight w:val="none"/>
              </w:rPr>
            </w:pPr>
            <w:r>
              <w:rPr>
                <w:rFonts w:hint="eastAsia" w:ascii="宋体" w:hAnsi="宋体"/>
                <w:color w:val="auto"/>
                <w:szCs w:val="21"/>
                <w:highlight w:val="none"/>
              </w:rPr>
              <w:t>委托代理人必须为比选申请人本单位人员。</w:t>
            </w:r>
          </w:p>
          <w:p w14:paraId="203AADB4">
            <w:pPr>
              <w:spacing w:line="460" w:lineRule="exact"/>
              <w:ind w:firstLine="435"/>
              <w:rPr>
                <w:rFonts w:ascii="宋体" w:hAnsi="宋体"/>
                <w:color w:val="auto"/>
                <w:szCs w:val="21"/>
                <w:highlight w:val="none"/>
              </w:rPr>
            </w:pPr>
            <w:r>
              <w:rPr>
                <w:rFonts w:hint="eastAsia" w:ascii="宋体" w:hAnsi="宋体"/>
                <w:color w:val="auto"/>
                <w:szCs w:val="21"/>
                <w:highlight w:val="none"/>
              </w:rPr>
              <w:t>比选申请人须在比选申请文件资格审查部分提供比选申请人本单位为该委托代理人缴纳的养老保险证明材料复印件。否则，将由评标委员会作否决投标处理。</w:t>
            </w:r>
          </w:p>
          <w:p w14:paraId="70D43816">
            <w:pPr>
              <w:spacing w:line="460" w:lineRule="exact"/>
              <w:ind w:firstLine="435"/>
              <w:rPr>
                <w:rFonts w:ascii="宋体" w:hAnsi="宋体"/>
                <w:b/>
                <w:bCs/>
                <w:color w:val="auto"/>
                <w:szCs w:val="21"/>
                <w:highlight w:val="none"/>
              </w:rPr>
            </w:pPr>
            <w:r>
              <w:rPr>
                <w:rFonts w:hint="eastAsia" w:ascii="宋体" w:hAnsi="宋体"/>
                <w:b/>
                <w:bCs/>
                <w:color w:val="auto"/>
                <w:szCs w:val="21"/>
                <w:highlight w:val="none"/>
              </w:rPr>
              <w:t>5.</w:t>
            </w:r>
            <w:r>
              <w:rPr>
                <w:rFonts w:hint="eastAsia"/>
                <w:b/>
                <w:bCs/>
                <w:color w:val="auto"/>
                <w:highlight w:val="none"/>
              </w:rPr>
              <w:t xml:space="preserve"> </w:t>
            </w:r>
            <w:r>
              <w:rPr>
                <w:rFonts w:hint="eastAsia" w:ascii="宋体" w:hAnsi="宋体"/>
                <w:b/>
                <w:bCs/>
                <w:color w:val="auto"/>
                <w:szCs w:val="21"/>
                <w:highlight w:val="none"/>
              </w:rPr>
              <w:t>投标截止日比选申请资格情况</w:t>
            </w:r>
          </w:p>
          <w:p w14:paraId="57270A7C">
            <w:pPr>
              <w:spacing w:line="460" w:lineRule="exact"/>
              <w:ind w:firstLine="435"/>
              <w:rPr>
                <w:rFonts w:ascii="宋体" w:hAnsi="宋体"/>
                <w:color w:val="auto"/>
                <w:szCs w:val="21"/>
                <w:highlight w:val="none"/>
              </w:rPr>
            </w:pPr>
            <w:r>
              <w:rPr>
                <w:rFonts w:hint="eastAsia" w:ascii="宋体" w:hAnsi="宋体"/>
                <w:color w:val="auto"/>
                <w:szCs w:val="21"/>
                <w:highlight w:val="none"/>
              </w:rPr>
              <w:t>比选申请人自行承诺（格式见第八章比选申请文件格式）不得存在下列情形之一：</w:t>
            </w:r>
          </w:p>
          <w:p w14:paraId="0C51F751">
            <w:pPr>
              <w:spacing w:line="460" w:lineRule="exact"/>
              <w:ind w:firstLine="435"/>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8422EA9">
            <w:pPr>
              <w:spacing w:line="460" w:lineRule="exact"/>
              <w:ind w:firstLine="435"/>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13AE0B93">
            <w:pPr>
              <w:spacing w:line="460" w:lineRule="exact"/>
              <w:ind w:firstLine="435"/>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65940546">
            <w:pPr>
              <w:spacing w:line="460" w:lineRule="exact"/>
              <w:ind w:firstLine="435"/>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B009B20">
            <w:pPr>
              <w:spacing w:line="460" w:lineRule="exact"/>
              <w:ind w:firstLine="435"/>
              <w:rPr>
                <w:rFonts w:ascii="宋体" w:hAnsi="宋体"/>
                <w:color w:val="auto"/>
                <w:szCs w:val="21"/>
                <w:highlight w:val="none"/>
              </w:rPr>
            </w:pPr>
            <w:r>
              <w:rPr>
                <w:rFonts w:hint="eastAsia" w:ascii="宋体" w:hAnsi="宋体"/>
                <w:color w:val="auto"/>
                <w:szCs w:val="21"/>
                <w:highlight w:val="none"/>
              </w:rPr>
              <w:t>（5）被重庆市</w:t>
            </w:r>
            <w:r>
              <w:rPr>
                <w:rFonts w:hint="eastAsia" w:asciiTheme="minorEastAsia" w:hAnsiTheme="minorEastAsia" w:eastAsiaTheme="minorEastAsia" w:cstheme="minorEastAsia"/>
                <w:color w:val="auto"/>
                <w:szCs w:val="21"/>
                <w:highlight w:val="none"/>
              </w:rPr>
              <w:t>市级有关行业</w:t>
            </w:r>
            <w:r>
              <w:rPr>
                <w:rFonts w:hint="eastAsia" w:ascii="宋体" w:hAnsi="宋体"/>
                <w:color w:val="auto"/>
                <w:szCs w:val="21"/>
                <w:highlight w:val="none"/>
              </w:rPr>
              <w:t>主管部门暂停在渝承揽新业务且在暂停期内。</w:t>
            </w:r>
          </w:p>
          <w:p w14:paraId="7F9C21CB">
            <w:pPr>
              <w:spacing w:line="460" w:lineRule="exact"/>
              <w:ind w:firstLine="435"/>
              <w:rPr>
                <w:rFonts w:ascii="宋体" w:hAnsi="宋体"/>
                <w:color w:val="auto"/>
                <w:szCs w:val="21"/>
                <w:highlight w:val="none"/>
              </w:rPr>
            </w:pPr>
            <w:r>
              <w:rPr>
                <w:rFonts w:hint="eastAsia" w:ascii="宋体" w:hAnsi="宋体"/>
                <w:color w:val="auto"/>
                <w:szCs w:val="21"/>
                <w:highlight w:val="none"/>
              </w:rPr>
              <w:t>特别提醒：凡在比选申请过程中提供虚假资料的比选申请人，一经比选人查实，比选人将取消其比选申请或中选资格；比选申请保证金将不予退还，向相关部门通报，并按有关规定处理。</w:t>
            </w:r>
          </w:p>
          <w:p w14:paraId="6FF76422">
            <w:pPr>
              <w:spacing w:line="460" w:lineRule="exact"/>
              <w:ind w:firstLine="435"/>
              <w:rPr>
                <w:rFonts w:ascii="宋体" w:hAnsi="宋体"/>
                <w:color w:val="auto"/>
                <w:szCs w:val="21"/>
                <w:highlight w:val="none"/>
              </w:rPr>
            </w:pPr>
            <w:r>
              <w:rPr>
                <w:rFonts w:hint="eastAsia" w:ascii="宋体" w:hAnsi="宋体"/>
                <w:b/>
                <w:bCs/>
                <w:color w:val="auto"/>
                <w:szCs w:val="21"/>
                <w:highlight w:val="none"/>
              </w:rPr>
              <w:t>特别说明：</w:t>
            </w:r>
          </w:p>
          <w:p w14:paraId="0FD79907">
            <w:pPr>
              <w:autoSpaceDE w:val="0"/>
              <w:autoSpaceDN w:val="0"/>
              <w:adjustRightInd w:val="0"/>
              <w:snapToGrid w:val="0"/>
              <w:spacing w:line="400" w:lineRule="exact"/>
              <w:ind w:firstLine="415" w:firstLineChars="198"/>
              <w:rPr>
                <w:rFonts w:ascii="宋体" w:hAnsi="宋体"/>
                <w:color w:val="auto"/>
                <w:szCs w:val="21"/>
                <w:highlight w:val="none"/>
              </w:rPr>
            </w:pPr>
            <w:r>
              <w:rPr>
                <w:rFonts w:hint="eastAsia" w:ascii="宋体" w:hAnsi="宋体"/>
                <w:color w:val="auto"/>
                <w:szCs w:val="21"/>
                <w:highlight w:val="none"/>
              </w:rPr>
              <w:t>（1）上述1～5条所须提交的相关证明材料复印件均应加盖比选申请人单位法人章并装入比选申请文件资格审查部分中。</w:t>
            </w:r>
            <w:r>
              <w:rPr>
                <w:rFonts w:hint="eastAsia" w:ascii="宋体" w:hAnsi="宋体" w:cs="宋体"/>
                <w:color w:val="auto"/>
                <w:szCs w:val="21"/>
                <w:highlight w:val="none"/>
              </w:rPr>
              <w:t>投标时比选申请人的委托代理人须随身携带以上所有复印件的原件及原件清单（营业执照、资质证书、带二维码的证件、身份证、网页打印件、截图、承诺书、声明除外），在递交比选申请文件时一次性递交，不得补交，原件袋必须密封。评标委员会审查时必须对有关证明和证件的原件核查，若经审查复印件与原件不一致，或未提交原件的，则比选申请文件由评标委员会作否决投标处理。上述要求</w:t>
            </w:r>
            <w:r>
              <w:rPr>
                <w:rFonts w:hint="eastAsia" w:ascii="宋体" w:hAnsi="宋体" w:cs="宋体"/>
                <w:color w:val="auto"/>
                <w:kern w:val="0"/>
                <w:szCs w:val="21"/>
                <w:highlight w:val="none"/>
              </w:rPr>
              <w:t>，有一条不满足则比选申请文件由评标委员会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14:paraId="6FA032EF">
            <w:pPr>
              <w:spacing w:line="460" w:lineRule="exact"/>
              <w:ind w:firstLine="435"/>
              <w:rPr>
                <w:rFonts w:ascii="宋体" w:hAnsi="宋体"/>
                <w:color w:val="auto"/>
                <w:szCs w:val="21"/>
                <w:highlight w:val="none"/>
              </w:rPr>
            </w:pPr>
            <w:r>
              <w:rPr>
                <w:rFonts w:hint="eastAsia" w:ascii="宋体" w:hAnsi="宋体"/>
                <w:color w:val="auto"/>
                <w:szCs w:val="21"/>
                <w:highlight w:val="none"/>
              </w:rPr>
              <w:t>（2）比选人在比选申请有效期内均有权对比选申请人提供的以上资料（证明和证件）进行核实，若发现资料存在虚假不实，按照相关法律法规处理，其比选申请保证金不予退还，比选申请人承担因此造成的相关责任并赔偿相应损失。</w:t>
            </w:r>
          </w:p>
          <w:p w14:paraId="4AC3B95B">
            <w:pPr>
              <w:spacing w:line="460" w:lineRule="exact"/>
              <w:ind w:firstLine="420" w:firstLineChars="200"/>
              <w:rPr>
                <w:rFonts w:ascii="宋体" w:hAnsi="宋体"/>
                <w:color w:val="auto"/>
                <w:kern w:val="0"/>
                <w:highlight w:val="none"/>
              </w:rPr>
            </w:pPr>
            <w:r>
              <w:rPr>
                <w:rFonts w:hint="eastAsia" w:ascii="宋体" w:hAnsi="宋体"/>
                <w:color w:val="auto"/>
                <w:kern w:val="0"/>
                <w:highlight w:val="none"/>
              </w:rPr>
              <w:t>（3）本比选文件中所要求的人员养老保险证明要求如下：</w:t>
            </w:r>
          </w:p>
          <w:p w14:paraId="04C48DC4">
            <w:pPr>
              <w:spacing w:line="460" w:lineRule="exact"/>
              <w:ind w:firstLine="420" w:firstLineChars="200"/>
              <w:rPr>
                <w:rFonts w:ascii="宋体" w:hAnsi="宋体"/>
                <w:color w:val="auto"/>
                <w:kern w:val="0"/>
                <w:highlight w:val="none"/>
              </w:rPr>
            </w:pPr>
            <w:r>
              <w:rPr>
                <w:rFonts w:hint="eastAsia" w:ascii="宋体" w:hAnsi="宋体"/>
                <w:color w:val="auto"/>
                <w:kern w:val="0"/>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0803AC9A">
            <w:pPr>
              <w:spacing w:line="460" w:lineRule="exact"/>
              <w:ind w:firstLine="420" w:firstLineChars="200"/>
              <w:rPr>
                <w:rFonts w:ascii="宋体" w:hAnsi="宋体"/>
                <w:color w:val="auto"/>
                <w:highlight w:val="none"/>
              </w:rPr>
            </w:pPr>
            <w:r>
              <w:rPr>
                <w:rFonts w:hint="eastAsia" w:ascii="宋体" w:hAnsi="宋体"/>
                <w:color w:val="auto"/>
                <w:kern w:val="0"/>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rPr>
              <w:t>须包含</w:t>
            </w:r>
            <w:r>
              <w:rPr>
                <w:rFonts w:hint="eastAsia" w:ascii="宋体" w:hAnsi="宋体"/>
                <w:bCs/>
                <w:snapToGrid w:val="0"/>
                <w:color w:val="auto"/>
                <w:kern w:val="0"/>
                <w:szCs w:val="21"/>
                <w:highlight w:val="none"/>
                <w:u w:val="single"/>
              </w:rPr>
              <w:t>2024</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10</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03</w:t>
            </w:r>
            <w:r>
              <w:rPr>
                <w:rFonts w:ascii="宋体" w:hAnsi="宋体"/>
                <w:bCs/>
                <w:snapToGrid w:val="0"/>
                <w:color w:val="auto"/>
                <w:kern w:val="0"/>
                <w:szCs w:val="21"/>
                <w:highlight w:val="none"/>
              </w:rPr>
              <w:t>月</w:t>
            </w:r>
            <w:r>
              <w:rPr>
                <w:rFonts w:hint="eastAsia" w:ascii="宋体" w:hAnsi="宋体"/>
                <w:bCs/>
                <w:color w:val="auto"/>
                <w:szCs w:val="21"/>
                <w:highlight w:val="none"/>
              </w:rPr>
              <w:t>。养老保险证明原件必须加盖社保部门公章，提供的养老保险参保证明须体现上述人员的姓名、身份证号（或社保号）、单位名称、本单位参保时间（或起始参保时间）。为确保对所有</w:t>
            </w:r>
            <w:r>
              <w:rPr>
                <w:rFonts w:hint="eastAsia" w:ascii="宋体" w:hAnsi="宋体"/>
                <w:color w:val="auto"/>
                <w:szCs w:val="21"/>
                <w:highlight w:val="none"/>
              </w:rPr>
              <w:t>比选申请</w:t>
            </w:r>
            <w:r>
              <w:rPr>
                <w:rFonts w:hint="eastAsia" w:ascii="宋体" w:hAnsi="宋体"/>
                <w:bCs/>
                <w:color w:val="auto"/>
                <w:szCs w:val="21"/>
                <w:highlight w:val="none"/>
              </w:rPr>
              <w:t>人的公开、公平、公正，</w:t>
            </w:r>
            <w:r>
              <w:rPr>
                <w:rFonts w:hint="eastAsia" w:ascii="宋体" w:hAnsi="宋体"/>
                <w:color w:val="auto"/>
                <w:szCs w:val="21"/>
                <w:highlight w:val="none"/>
              </w:rPr>
              <w:t>比选申请</w:t>
            </w:r>
            <w:r>
              <w:rPr>
                <w:rFonts w:hint="eastAsia" w:ascii="宋体" w:hAnsi="宋体"/>
                <w:bCs/>
                <w:color w:val="auto"/>
                <w:szCs w:val="21"/>
                <w:highlight w:val="none"/>
              </w:rPr>
              <w:t>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3F75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0295CFDC">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478" w:type="dxa"/>
            <w:tcBorders>
              <w:top w:val="single" w:color="auto" w:sz="4" w:space="0"/>
              <w:left w:val="single" w:color="auto" w:sz="4" w:space="0"/>
              <w:bottom w:val="single" w:color="auto" w:sz="4" w:space="0"/>
              <w:right w:val="single" w:color="auto" w:sz="4" w:space="0"/>
            </w:tcBorders>
            <w:vAlign w:val="center"/>
          </w:tcPr>
          <w:p w14:paraId="06D96DCD">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是否接受联合体</w:t>
            </w:r>
            <w:r>
              <w:rPr>
                <w:rFonts w:hint="eastAsia" w:ascii="宋体" w:hAnsi="宋体"/>
                <w:color w:val="auto"/>
                <w:szCs w:val="21"/>
                <w:highlight w:val="none"/>
              </w:rPr>
              <w:t>投标</w:t>
            </w:r>
          </w:p>
        </w:tc>
        <w:tc>
          <w:tcPr>
            <w:tcW w:w="7442" w:type="dxa"/>
            <w:tcBorders>
              <w:top w:val="single" w:color="auto" w:sz="4" w:space="0"/>
              <w:left w:val="single" w:color="auto" w:sz="4" w:space="0"/>
              <w:bottom w:val="single" w:color="auto" w:sz="4" w:space="0"/>
              <w:right w:val="single" w:color="auto" w:sz="4" w:space="0"/>
            </w:tcBorders>
            <w:vAlign w:val="center"/>
          </w:tcPr>
          <w:p w14:paraId="527BA914">
            <w:pPr>
              <w:spacing w:line="460" w:lineRule="exact"/>
              <w:rPr>
                <w:color w:val="auto"/>
                <w:highlight w:val="none"/>
              </w:rPr>
            </w:pPr>
            <w:r>
              <w:rPr>
                <w:rFonts w:hint="eastAsia" w:ascii="宋体" w:hAnsi="宋体" w:cs="宋体"/>
                <w:color w:val="auto"/>
                <w:kern w:val="0"/>
                <w:szCs w:val="21"/>
                <w:highlight w:val="none"/>
              </w:rPr>
              <w:t>不接受</w:t>
            </w:r>
          </w:p>
        </w:tc>
      </w:tr>
      <w:tr w14:paraId="67C1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1691386F">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1478" w:type="dxa"/>
            <w:tcBorders>
              <w:top w:val="single" w:color="auto" w:sz="4" w:space="0"/>
              <w:left w:val="single" w:color="auto" w:sz="4" w:space="0"/>
              <w:bottom w:val="single" w:color="auto" w:sz="4" w:space="0"/>
              <w:right w:val="single" w:color="auto" w:sz="4" w:space="0"/>
            </w:tcBorders>
            <w:vAlign w:val="center"/>
          </w:tcPr>
          <w:p w14:paraId="78AB7279">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442" w:type="dxa"/>
            <w:tcBorders>
              <w:top w:val="single" w:color="auto" w:sz="4" w:space="0"/>
              <w:left w:val="single" w:color="auto" w:sz="4" w:space="0"/>
              <w:bottom w:val="single" w:color="auto" w:sz="4" w:space="0"/>
              <w:right w:val="single" w:color="auto" w:sz="4" w:space="0"/>
            </w:tcBorders>
            <w:vAlign w:val="center"/>
          </w:tcPr>
          <w:p w14:paraId="0AC5087A">
            <w:pPr>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478B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69" w:type="dxa"/>
            <w:tcBorders>
              <w:top w:val="single" w:color="auto" w:sz="4" w:space="0"/>
              <w:left w:val="single" w:color="auto" w:sz="4" w:space="0"/>
              <w:bottom w:val="single" w:color="auto" w:sz="4" w:space="0"/>
              <w:right w:val="single" w:color="auto" w:sz="4" w:space="0"/>
            </w:tcBorders>
            <w:vAlign w:val="center"/>
          </w:tcPr>
          <w:p w14:paraId="193C597E">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1.10.1</w:t>
            </w:r>
          </w:p>
        </w:tc>
        <w:tc>
          <w:tcPr>
            <w:tcW w:w="1478" w:type="dxa"/>
            <w:tcBorders>
              <w:top w:val="single" w:color="auto" w:sz="4" w:space="0"/>
              <w:left w:val="single" w:color="auto" w:sz="4" w:space="0"/>
              <w:bottom w:val="single" w:color="auto" w:sz="4" w:space="0"/>
              <w:right w:val="single" w:color="auto" w:sz="4" w:space="0"/>
            </w:tcBorders>
            <w:vAlign w:val="center"/>
          </w:tcPr>
          <w:p w14:paraId="2D48C960">
            <w:pPr>
              <w:snapToGrid w:val="0"/>
              <w:spacing w:line="460" w:lineRule="exact"/>
              <w:jc w:val="center"/>
              <w:rPr>
                <w:rFonts w:ascii="宋体" w:hAnsi="宋体" w:cs="宋体"/>
                <w:color w:val="auto"/>
                <w:kern w:val="0"/>
                <w:szCs w:val="21"/>
                <w:highlight w:val="none"/>
              </w:rPr>
            </w:pPr>
            <w:r>
              <w:rPr>
                <w:rFonts w:hint="eastAsia" w:ascii="宋体" w:hAnsi="宋体"/>
                <w:color w:val="auto"/>
                <w:szCs w:val="21"/>
                <w:highlight w:val="none"/>
              </w:rPr>
              <w:t>比选申请</w:t>
            </w:r>
            <w:r>
              <w:rPr>
                <w:rFonts w:hint="eastAsia" w:ascii="宋体" w:hAnsi="宋体" w:cs="宋体"/>
                <w:color w:val="auto"/>
                <w:kern w:val="0"/>
                <w:szCs w:val="21"/>
                <w:highlight w:val="none"/>
              </w:rPr>
              <w:t>预备会</w:t>
            </w:r>
          </w:p>
        </w:tc>
        <w:tc>
          <w:tcPr>
            <w:tcW w:w="7442" w:type="dxa"/>
            <w:tcBorders>
              <w:top w:val="single" w:color="auto" w:sz="4" w:space="0"/>
              <w:left w:val="single" w:color="auto" w:sz="4" w:space="0"/>
              <w:bottom w:val="single" w:color="auto" w:sz="4" w:space="0"/>
              <w:right w:val="single" w:color="auto" w:sz="4" w:space="0"/>
            </w:tcBorders>
            <w:vAlign w:val="center"/>
          </w:tcPr>
          <w:p w14:paraId="2D8C18C4">
            <w:pPr>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不召开</w:t>
            </w:r>
          </w:p>
        </w:tc>
      </w:tr>
      <w:tr w14:paraId="22BD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69" w:type="dxa"/>
            <w:tcBorders>
              <w:top w:val="single" w:color="auto" w:sz="4" w:space="0"/>
              <w:left w:val="single" w:color="auto" w:sz="4" w:space="0"/>
              <w:bottom w:val="single" w:color="auto" w:sz="4" w:space="0"/>
              <w:right w:val="single" w:color="auto" w:sz="4" w:space="0"/>
            </w:tcBorders>
            <w:vAlign w:val="center"/>
          </w:tcPr>
          <w:p w14:paraId="0F6B4C75">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478" w:type="dxa"/>
            <w:tcBorders>
              <w:top w:val="single" w:color="auto" w:sz="4" w:space="0"/>
              <w:left w:val="single" w:color="auto" w:sz="4" w:space="0"/>
              <w:bottom w:val="single" w:color="auto" w:sz="4" w:space="0"/>
              <w:right w:val="single" w:color="auto" w:sz="4" w:space="0"/>
            </w:tcBorders>
            <w:vAlign w:val="center"/>
          </w:tcPr>
          <w:p w14:paraId="2FAF6C1D">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442" w:type="dxa"/>
            <w:tcBorders>
              <w:top w:val="single" w:color="auto" w:sz="4" w:space="0"/>
              <w:left w:val="single" w:color="auto" w:sz="4" w:space="0"/>
              <w:bottom w:val="single" w:color="auto" w:sz="4" w:space="0"/>
              <w:right w:val="single" w:color="auto" w:sz="4" w:space="0"/>
            </w:tcBorders>
            <w:vAlign w:val="center"/>
          </w:tcPr>
          <w:p w14:paraId="4D9F6E24">
            <w:pPr>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0D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794D3EDC">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478" w:type="dxa"/>
            <w:tcBorders>
              <w:top w:val="single" w:color="auto" w:sz="4" w:space="0"/>
              <w:left w:val="single" w:color="auto" w:sz="4" w:space="0"/>
              <w:bottom w:val="single" w:color="auto" w:sz="4" w:space="0"/>
              <w:right w:val="single" w:color="auto" w:sz="4" w:space="0"/>
            </w:tcBorders>
            <w:vAlign w:val="center"/>
          </w:tcPr>
          <w:p w14:paraId="32DFFB66">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7442" w:type="dxa"/>
            <w:tcBorders>
              <w:top w:val="single" w:color="auto" w:sz="4" w:space="0"/>
              <w:left w:val="single" w:color="auto" w:sz="4" w:space="0"/>
              <w:bottom w:val="single" w:color="auto" w:sz="4" w:space="0"/>
              <w:right w:val="single" w:color="auto" w:sz="4" w:space="0"/>
            </w:tcBorders>
            <w:vAlign w:val="center"/>
          </w:tcPr>
          <w:p w14:paraId="352B71C2">
            <w:pPr>
              <w:snapToGrid w:val="0"/>
              <w:spacing w:line="460" w:lineRule="exact"/>
              <w:rPr>
                <w:rFonts w:ascii="宋体" w:hAnsi="宋体"/>
                <w:color w:val="auto"/>
                <w:szCs w:val="21"/>
                <w:highlight w:val="none"/>
              </w:rPr>
            </w:pPr>
            <w:r>
              <w:rPr>
                <w:rFonts w:asciiTheme="minorEastAsia" w:hAnsiTheme="minorEastAsia" w:eastAsiaTheme="minorEastAsia"/>
                <w:color w:val="auto"/>
                <w:szCs w:val="21"/>
                <w:highlight w:val="none"/>
              </w:rPr>
              <w:t>比选人发出的</w:t>
            </w:r>
            <w:r>
              <w:rPr>
                <w:rFonts w:hint="eastAsia" w:asciiTheme="minorEastAsia" w:hAnsiTheme="minorEastAsia" w:eastAsiaTheme="minorEastAsia"/>
                <w:color w:val="auto"/>
                <w:szCs w:val="21"/>
                <w:highlight w:val="none"/>
              </w:rPr>
              <w:t>澄清</w:t>
            </w:r>
            <w:r>
              <w:rPr>
                <w:rFonts w:asciiTheme="minorEastAsia" w:hAnsiTheme="minorEastAsia" w:eastAsiaTheme="minorEastAsia"/>
                <w:color w:val="auto"/>
                <w:szCs w:val="21"/>
                <w:highlight w:val="none"/>
              </w:rPr>
              <w:t>及</w:t>
            </w:r>
            <w:r>
              <w:rPr>
                <w:rFonts w:hint="eastAsia" w:asciiTheme="minorEastAsia" w:hAnsiTheme="minorEastAsia" w:eastAsiaTheme="minorEastAsia"/>
                <w:color w:val="auto"/>
                <w:szCs w:val="21"/>
                <w:highlight w:val="none"/>
              </w:rPr>
              <w:t>修改</w:t>
            </w:r>
          </w:p>
        </w:tc>
      </w:tr>
      <w:tr w14:paraId="168F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2056C764">
            <w:pPr>
              <w:snapToGrid w:val="0"/>
              <w:spacing w:line="460" w:lineRule="exact"/>
              <w:jc w:val="center"/>
              <w:rPr>
                <w:rFonts w:ascii="宋体" w:hAnsi="宋体" w:cs="宋体"/>
                <w:color w:val="auto"/>
                <w:kern w:val="0"/>
                <w:szCs w:val="21"/>
                <w:highlight w:val="none"/>
              </w:rPr>
            </w:pPr>
            <w:r>
              <w:rPr>
                <w:rFonts w:hint="eastAsia" w:asciiTheme="minorEastAsia" w:hAnsiTheme="minorEastAsia" w:eastAsiaTheme="minorEastAsia"/>
                <w:color w:val="auto"/>
                <w:kern w:val="0"/>
                <w:szCs w:val="21"/>
                <w:highlight w:val="none"/>
              </w:rPr>
              <w:t>2</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2</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1</w:t>
            </w:r>
          </w:p>
        </w:tc>
        <w:tc>
          <w:tcPr>
            <w:tcW w:w="1478" w:type="dxa"/>
            <w:tcBorders>
              <w:top w:val="single" w:color="auto" w:sz="4" w:space="0"/>
              <w:left w:val="single" w:color="auto" w:sz="4" w:space="0"/>
              <w:bottom w:val="single" w:color="auto" w:sz="4" w:space="0"/>
              <w:right w:val="single" w:color="auto" w:sz="4" w:space="0"/>
            </w:tcBorders>
            <w:vAlign w:val="center"/>
          </w:tcPr>
          <w:p w14:paraId="2B73B2A7">
            <w:pPr>
              <w:snapToGrid w:val="0"/>
              <w:spacing w:line="460" w:lineRule="exact"/>
              <w:jc w:val="center"/>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比选申请人对比选文件提出</w:t>
            </w:r>
            <w:r>
              <w:rPr>
                <w:rFonts w:hint="eastAsia" w:asciiTheme="minorEastAsia" w:hAnsiTheme="minorEastAsia" w:eastAsiaTheme="minorEastAsia"/>
                <w:color w:val="auto"/>
                <w:kern w:val="0"/>
                <w:szCs w:val="21"/>
                <w:highlight w:val="none"/>
              </w:rPr>
              <w:t>疑问</w:t>
            </w:r>
            <w:r>
              <w:rPr>
                <w:rFonts w:asciiTheme="minorEastAsia" w:hAnsiTheme="minorEastAsia" w:eastAsiaTheme="minorEastAsia"/>
                <w:color w:val="auto"/>
                <w:kern w:val="0"/>
                <w:szCs w:val="21"/>
                <w:highlight w:val="none"/>
              </w:rPr>
              <w:t>的截止时间</w:t>
            </w:r>
          </w:p>
        </w:tc>
        <w:tc>
          <w:tcPr>
            <w:tcW w:w="7442" w:type="dxa"/>
            <w:tcBorders>
              <w:top w:val="single" w:color="auto" w:sz="4" w:space="0"/>
              <w:left w:val="single" w:color="auto" w:sz="4" w:space="0"/>
              <w:bottom w:val="single" w:color="auto" w:sz="4" w:space="0"/>
              <w:right w:val="single" w:color="auto" w:sz="4" w:space="0"/>
            </w:tcBorders>
            <w:vAlign w:val="center"/>
          </w:tcPr>
          <w:p w14:paraId="196F4C53">
            <w:pPr>
              <w:snapToGrid w:val="0"/>
              <w:spacing w:line="460" w:lineRule="exact"/>
              <w:ind w:firstLine="420" w:firstLineChars="200"/>
              <w:rPr>
                <w:rFonts w:ascii="宋体" w:hAnsi="宋体"/>
                <w:color w:val="auto"/>
                <w:szCs w:val="21"/>
                <w:highlight w:val="none"/>
              </w:rPr>
            </w:pPr>
            <w:r>
              <w:rPr>
                <w:rFonts w:hint="eastAsia" w:asciiTheme="minorEastAsia" w:hAnsiTheme="minorEastAsia" w:eastAsiaTheme="minorEastAsia"/>
                <w:color w:val="auto"/>
                <w:kern w:val="0"/>
                <w:szCs w:val="21"/>
                <w:highlight w:val="none"/>
              </w:rPr>
              <w:t>比选申请人在获取到比选文件等资料后，应仔细检查比选文件的所有内容，如有疑问等应在北京时间2025年</w:t>
            </w:r>
            <w:r>
              <w:rPr>
                <w:rFonts w:hint="eastAsia" w:asciiTheme="minorEastAsia" w:hAnsiTheme="minorEastAsia" w:eastAsiaTheme="minorEastAsia"/>
                <w:color w:val="auto"/>
                <w:kern w:val="0"/>
                <w:szCs w:val="21"/>
                <w:highlight w:val="none"/>
                <w:lang w:val="en-US" w:eastAsia="zh-CN"/>
              </w:rPr>
              <w:t>04</w:t>
            </w:r>
            <w:r>
              <w:rPr>
                <w:rFonts w:hint="eastAsia" w:asciiTheme="minorEastAsia" w:hAnsiTheme="minorEastAsia" w:eastAsiaTheme="minorEastAsia"/>
                <w:color w:val="auto"/>
                <w:kern w:val="0"/>
                <w:szCs w:val="21"/>
                <w:highlight w:val="none"/>
              </w:rPr>
              <w:t>月</w:t>
            </w:r>
            <w:r>
              <w:rPr>
                <w:rFonts w:hint="eastAsia" w:asciiTheme="minorEastAsia" w:hAnsiTheme="minorEastAsia" w:eastAsiaTheme="minorEastAsia"/>
                <w:color w:val="auto"/>
                <w:kern w:val="0"/>
                <w:szCs w:val="21"/>
                <w:highlight w:val="none"/>
                <w:lang w:val="en-US" w:eastAsia="zh-CN"/>
              </w:rPr>
              <w:t>17</w:t>
            </w:r>
            <w:r>
              <w:rPr>
                <w:rFonts w:hint="eastAsia" w:asciiTheme="minorEastAsia" w:hAnsiTheme="minorEastAsia" w:eastAsiaTheme="minorEastAsia"/>
                <w:color w:val="auto"/>
                <w:kern w:val="0"/>
                <w:szCs w:val="21"/>
                <w:highlight w:val="none"/>
              </w:rPr>
              <w:t>日12:00时前以书面形式递交至代理公司。比选申请人未在规定时间内提出质疑，视为比选申请人已全面确认比选文件内容。</w:t>
            </w:r>
          </w:p>
        </w:tc>
      </w:tr>
      <w:tr w14:paraId="1B9C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restart"/>
            <w:tcBorders>
              <w:top w:val="single" w:color="auto" w:sz="4" w:space="0"/>
              <w:left w:val="single" w:color="auto" w:sz="4" w:space="0"/>
              <w:right w:val="single" w:color="auto" w:sz="4" w:space="0"/>
            </w:tcBorders>
            <w:vAlign w:val="center"/>
          </w:tcPr>
          <w:p w14:paraId="3E1C6ECF">
            <w:pPr>
              <w:snapToGrid w:val="0"/>
              <w:spacing w:line="460" w:lineRule="exact"/>
              <w:jc w:val="center"/>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2.2.2</w:t>
            </w:r>
          </w:p>
        </w:tc>
        <w:tc>
          <w:tcPr>
            <w:tcW w:w="1478" w:type="dxa"/>
            <w:tcBorders>
              <w:top w:val="single" w:color="auto" w:sz="4" w:space="0"/>
              <w:left w:val="single" w:color="auto" w:sz="4" w:space="0"/>
              <w:bottom w:val="single" w:color="auto" w:sz="4" w:space="0"/>
              <w:right w:val="single" w:color="auto" w:sz="4" w:space="0"/>
            </w:tcBorders>
            <w:vAlign w:val="center"/>
          </w:tcPr>
          <w:p w14:paraId="44569A6F">
            <w:pPr>
              <w:snapToGrid w:val="0"/>
              <w:spacing w:line="460" w:lineRule="exact"/>
              <w:jc w:val="center"/>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比选人对比选文件</w:t>
            </w:r>
            <w:r>
              <w:rPr>
                <w:rFonts w:hint="eastAsia" w:asciiTheme="minorEastAsia" w:hAnsiTheme="minorEastAsia" w:eastAsiaTheme="minorEastAsia"/>
                <w:color w:val="auto"/>
                <w:kern w:val="0"/>
                <w:szCs w:val="21"/>
                <w:highlight w:val="none"/>
              </w:rPr>
              <w:t>澄清</w:t>
            </w:r>
            <w:r>
              <w:rPr>
                <w:rFonts w:asciiTheme="minorEastAsia" w:hAnsiTheme="minorEastAsia" w:eastAsiaTheme="minorEastAsia"/>
                <w:color w:val="auto"/>
                <w:kern w:val="0"/>
                <w:szCs w:val="21"/>
                <w:highlight w:val="none"/>
              </w:rPr>
              <w:t>的截止时间</w:t>
            </w:r>
          </w:p>
        </w:tc>
        <w:tc>
          <w:tcPr>
            <w:tcW w:w="7442" w:type="dxa"/>
            <w:tcBorders>
              <w:top w:val="single" w:color="auto" w:sz="4" w:space="0"/>
              <w:left w:val="single" w:color="auto" w:sz="4" w:space="0"/>
              <w:bottom w:val="single" w:color="auto" w:sz="4" w:space="0"/>
              <w:right w:val="single" w:color="auto" w:sz="4" w:space="0"/>
            </w:tcBorders>
            <w:vAlign w:val="center"/>
          </w:tcPr>
          <w:p w14:paraId="522AD7C6">
            <w:pPr>
              <w:snapToGrid w:val="0"/>
              <w:spacing w:line="460" w:lineRule="exact"/>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比选人应在</w:t>
            </w:r>
            <w:r>
              <w:rPr>
                <w:rFonts w:hint="eastAsia" w:asciiTheme="minorEastAsia" w:hAnsiTheme="minorEastAsia" w:eastAsiaTheme="minorEastAsia"/>
                <w:color w:val="auto"/>
                <w:kern w:val="0"/>
                <w:szCs w:val="21"/>
                <w:highlight w:val="none"/>
              </w:rPr>
              <w:t>2025年</w:t>
            </w:r>
            <w:r>
              <w:rPr>
                <w:rFonts w:hint="eastAsia" w:asciiTheme="minorEastAsia" w:hAnsiTheme="minorEastAsia" w:eastAsiaTheme="minorEastAsia"/>
                <w:color w:val="auto"/>
                <w:kern w:val="0"/>
                <w:szCs w:val="21"/>
                <w:highlight w:val="none"/>
                <w:lang w:val="en-US" w:eastAsia="zh-CN"/>
              </w:rPr>
              <w:t xml:space="preserve">04 </w:t>
            </w:r>
            <w:r>
              <w:rPr>
                <w:rFonts w:hint="eastAsia" w:asciiTheme="minorEastAsia" w:hAnsiTheme="minorEastAsia" w:eastAsiaTheme="minorEastAsia"/>
                <w:color w:val="auto"/>
                <w:kern w:val="0"/>
                <w:szCs w:val="21"/>
                <w:highlight w:val="none"/>
              </w:rPr>
              <w:t>月</w:t>
            </w:r>
            <w:r>
              <w:rPr>
                <w:rFonts w:hint="eastAsia" w:asciiTheme="minorEastAsia" w:hAnsiTheme="minorEastAsia" w:eastAsiaTheme="minorEastAsia"/>
                <w:color w:val="auto"/>
                <w:kern w:val="0"/>
                <w:szCs w:val="21"/>
                <w:highlight w:val="none"/>
                <w:lang w:val="en-US" w:eastAsia="zh-CN"/>
              </w:rPr>
              <w:t>17</w:t>
            </w:r>
            <w:r>
              <w:rPr>
                <w:rFonts w:hint="eastAsia" w:asciiTheme="minorEastAsia" w:hAnsiTheme="minorEastAsia" w:eastAsiaTheme="minorEastAsia"/>
                <w:color w:val="auto"/>
                <w:kern w:val="0"/>
                <w:szCs w:val="21"/>
                <w:highlight w:val="none"/>
              </w:rPr>
              <w:t>日18:00时</w:t>
            </w:r>
            <w:r>
              <w:rPr>
                <w:rFonts w:hint="eastAsia" w:asciiTheme="minorEastAsia" w:hAnsiTheme="minorEastAsia" w:eastAsiaTheme="minorEastAsia"/>
                <w:color w:val="auto"/>
                <w:szCs w:val="21"/>
                <w:highlight w:val="none"/>
              </w:rPr>
              <w:t>前</w:t>
            </w:r>
            <w:r>
              <w:rPr>
                <w:rFonts w:asciiTheme="minorEastAsia" w:hAnsiTheme="minorEastAsia" w:eastAsiaTheme="minorEastAsia"/>
                <w:color w:val="auto"/>
                <w:szCs w:val="21"/>
                <w:highlight w:val="none"/>
              </w:rPr>
              <w:t>，</w:t>
            </w:r>
            <w:r>
              <w:rPr>
                <w:rFonts w:hint="eastAsia" w:ascii="宋体" w:hAnsi="宋体"/>
                <w:snapToGrid w:val="0"/>
                <w:color w:val="auto"/>
                <w:kern w:val="0"/>
                <w:szCs w:val="21"/>
                <w:highlight w:val="none"/>
              </w:rPr>
              <w:t>向所有报名的比选申请人发出书面澄清</w:t>
            </w:r>
            <w:r>
              <w:rPr>
                <w:rFonts w:asciiTheme="minorEastAsia" w:hAnsiTheme="minorEastAsia" w:eastAsiaTheme="minorEastAsia"/>
                <w:color w:val="auto"/>
                <w:kern w:val="0"/>
                <w:szCs w:val="21"/>
                <w:highlight w:val="none"/>
              </w:rPr>
              <w:t>。</w:t>
            </w:r>
            <w:bookmarkStart w:id="3067" w:name="_GoBack"/>
            <w:bookmarkEnd w:id="3067"/>
          </w:p>
        </w:tc>
      </w:tr>
      <w:tr w14:paraId="4862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tcBorders>
              <w:left w:val="single" w:color="auto" w:sz="4" w:space="0"/>
              <w:bottom w:val="single" w:color="auto" w:sz="4" w:space="0"/>
              <w:right w:val="single" w:color="auto" w:sz="4" w:space="0"/>
            </w:tcBorders>
            <w:vAlign w:val="center"/>
          </w:tcPr>
          <w:p w14:paraId="1D2DD2E4">
            <w:pPr>
              <w:snapToGrid w:val="0"/>
              <w:spacing w:line="460" w:lineRule="exact"/>
              <w:jc w:val="center"/>
              <w:rPr>
                <w:rFonts w:ascii="宋体" w:hAnsi="宋体" w:cs="宋体"/>
                <w:color w:val="auto"/>
                <w:kern w:val="0"/>
                <w:szCs w:val="21"/>
                <w:highlight w:val="none"/>
              </w:rPr>
            </w:pPr>
          </w:p>
        </w:tc>
        <w:tc>
          <w:tcPr>
            <w:tcW w:w="1478" w:type="dxa"/>
            <w:tcBorders>
              <w:top w:val="single" w:color="auto" w:sz="4" w:space="0"/>
              <w:left w:val="single" w:color="auto" w:sz="4" w:space="0"/>
              <w:bottom w:val="single" w:color="auto" w:sz="4" w:space="0"/>
              <w:right w:val="single" w:color="auto" w:sz="4" w:space="0"/>
            </w:tcBorders>
            <w:vAlign w:val="center"/>
          </w:tcPr>
          <w:p w14:paraId="76E51EB6">
            <w:pPr>
              <w:snapToGrid w:val="0"/>
              <w:spacing w:line="460" w:lineRule="exact"/>
              <w:jc w:val="center"/>
              <w:rPr>
                <w:rFonts w:ascii="宋体" w:hAnsi="宋体" w:cs="宋体"/>
                <w:color w:val="auto"/>
                <w:kern w:val="0"/>
                <w:szCs w:val="21"/>
                <w:highlight w:val="none"/>
              </w:rPr>
            </w:pPr>
            <w:r>
              <w:rPr>
                <w:rFonts w:hint="eastAsia" w:asciiTheme="minorEastAsia" w:hAnsiTheme="minorEastAsia" w:eastAsiaTheme="minorEastAsia"/>
                <w:color w:val="auto"/>
                <w:kern w:val="0"/>
                <w:szCs w:val="21"/>
                <w:highlight w:val="none"/>
              </w:rPr>
              <w:t>比选申请截止时间</w:t>
            </w:r>
          </w:p>
        </w:tc>
        <w:tc>
          <w:tcPr>
            <w:tcW w:w="7442" w:type="dxa"/>
            <w:tcBorders>
              <w:top w:val="single" w:color="auto" w:sz="4" w:space="0"/>
              <w:left w:val="single" w:color="auto" w:sz="4" w:space="0"/>
              <w:bottom w:val="single" w:color="auto" w:sz="4" w:space="0"/>
              <w:right w:val="single" w:color="auto" w:sz="4" w:space="0"/>
            </w:tcBorders>
            <w:vAlign w:val="center"/>
          </w:tcPr>
          <w:p w14:paraId="09A0A85F">
            <w:pPr>
              <w:snapToGrid w:val="0"/>
              <w:spacing w:line="460" w:lineRule="exact"/>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详见比选公告规定的比选申请截止时间。</w:t>
            </w:r>
          </w:p>
        </w:tc>
      </w:tr>
      <w:tr w14:paraId="63E7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0C9C1359">
            <w:pPr>
              <w:snapToGrid w:val="0"/>
              <w:spacing w:line="460" w:lineRule="exact"/>
              <w:jc w:val="center"/>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2.2.3</w:t>
            </w:r>
          </w:p>
        </w:tc>
        <w:tc>
          <w:tcPr>
            <w:tcW w:w="1478" w:type="dxa"/>
            <w:tcBorders>
              <w:top w:val="single" w:color="auto" w:sz="4" w:space="0"/>
              <w:left w:val="single" w:color="auto" w:sz="4" w:space="0"/>
              <w:bottom w:val="single" w:color="auto" w:sz="4" w:space="0"/>
              <w:right w:val="single" w:color="auto" w:sz="4" w:space="0"/>
            </w:tcBorders>
            <w:vAlign w:val="center"/>
          </w:tcPr>
          <w:p w14:paraId="22B2CBBC">
            <w:pPr>
              <w:snapToGrid w:val="0"/>
              <w:spacing w:line="460" w:lineRule="exact"/>
              <w:jc w:val="center"/>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比选人对比选文件进行</w:t>
            </w:r>
            <w:r>
              <w:rPr>
                <w:rFonts w:hint="eastAsia" w:asciiTheme="minorEastAsia" w:hAnsiTheme="minorEastAsia" w:eastAsiaTheme="minorEastAsia"/>
                <w:color w:val="auto"/>
                <w:kern w:val="0"/>
                <w:szCs w:val="21"/>
                <w:highlight w:val="none"/>
              </w:rPr>
              <w:t>修改</w:t>
            </w:r>
            <w:r>
              <w:rPr>
                <w:rFonts w:asciiTheme="minorEastAsia" w:hAnsiTheme="minorEastAsia" w:eastAsiaTheme="minorEastAsia"/>
                <w:color w:val="auto"/>
                <w:kern w:val="0"/>
                <w:szCs w:val="21"/>
                <w:highlight w:val="none"/>
              </w:rPr>
              <w:t>的时间</w:t>
            </w:r>
          </w:p>
        </w:tc>
        <w:tc>
          <w:tcPr>
            <w:tcW w:w="7442" w:type="dxa"/>
            <w:tcBorders>
              <w:top w:val="single" w:color="auto" w:sz="4" w:space="0"/>
              <w:left w:val="single" w:color="auto" w:sz="4" w:space="0"/>
              <w:bottom w:val="single" w:color="auto" w:sz="4" w:space="0"/>
              <w:right w:val="single" w:color="auto" w:sz="4" w:space="0"/>
            </w:tcBorders>
            <w:vAlign w:val="center"/>
          </w:tcPr>
          <w:p w14:paraId="5472131F">
            <w:pPr>
              <w:snapToGrid w:val="0"/>
              <w:spacing w:line="460" w:lineRule="exact"/>
              <w:ind w:firstLine="420" w:firstLineChars="200"/>
              <w:rPr>
                <w:rFonts w:ascii="宋体" w:hAnsi="宋体"/>
                <w:color w:val="auto"/>
                <w:szCs w:val="21"/>
                <w:highlight w:val="none"/>
              </w:rPr>
            </w:pPr>
            <w:r>
              <w:rPr>
                <w:rFonts w:hint="eastAsia" w:asciiTheme="minorEastAsia" w:hAnsiTheme="minorEastAsia" w:eastAsiaTheme="minorEastAsia"/>
                <w:snapToGrid w:val="0"/>
                <w:color w:val="auto"/>
                <w:kern w:val="0"/>
                <w:szCs w:val="21"/>
                <w:highlight w:val="none"/>
              </w:rPr>
              <w:t>修改</w:t>
            </w:r>
            <w:r>
              <w:rPr>
                <w:rFonts w:asciiTheme="minorEastAsia" w:hAnsiTheme="minorEastAsia" w:eastAsiaTheme="minorEastAsia"/>
                <w:snapToGrid w:val="0"/>
                <w:color w:val="auto"/>
                <w:kern w:val="0"/>
                <w:szCs w:val="21"/>
                <w:highlight w:val="none"/>
              </w:rPr>
              <w:t>内容可能影响比选申请文件编制的，须在比选申请截止时间</w:t>
            </w:r>
            <w:r>
              <w:rPr>
                <w:rFonts w:hint="eastAsia" w:asciiTheme="minorEastAsia" w:hAnsiTheme="minorEastAsia" w:eastAsiaTheme="minorEastAsia"/>
                <w:snapToGrid w:val="0"/>
                <w:color w:val="auto"/>
                <w:kern w:val="0"/>
                <w:szCs w:val="21"/>
                <w:highlight w:val="none"/>
              </w:rPr>
              <w:t>3</w:t>
            </w:r>
            <w:r>
              <w:rPr>
                <w:rFonts w:asciiTheme="minorEastAsia" w:hAnsiTheme="minorEastAsia" w:eastAsiaTheme="minorEastAsia"/>
                <w:snapToGrid w:val="0"/>
                <w:color w:val="auto"/>
                <w:kern w:val="0"/>
                <w:szCs w:val="21"/>
                <w:highlight w:val="none"/>
              </w:rPr>
              <w:t>日前发布，发布时间至比选申请截止时间不足</w:t>
            </w:r>
            <w:r>
              <w:rPr>
                <w:rFonts w:hint="eastAsia" w:asciiTheme="minorEastAsia" w:hAnsiTheme="minorEastAsia" w:eastAsiaTheme="minorEastAsia"/>
                <w:snapToGrid w:val="0"/>
                <w:color w:val="auto"/>
                <w:kern w:val="0"/>
                <w:szCs w:val="21"/>
                <w:highlight w:val="none"/>
              </w:rPr>
              <w:t>3</w:t>
            </w:r>
            <w:r>
              <w:rPr>
                <w:rFonts w:asciiTheme="minorEastAsia" w:hAnsiTheme="minorEastAsia" w:eastAsiaTheme="minorEastAsia"/>
                <w:snapToGrid w:val="0"/>
                <w:color w:val="auto"/>
                <w:kern w:val="0"/>
                <w:szCs w:val="21"/>
                <w:highlight w:val="none"/>
              </w:rPr>
              <w:t>日的，须相应延后比选申请截止时间。</w:t>
            </w:r>
          </w:p>
        </w:tc>
      </w:tr>
      <w:tr w14:paraId="09AD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46C8E6DA">
            <w:pPr>
              <w:snapToGrid w:val="0"/>
              <w:spacing w:line="460" w:lineRule="exact"/>
              <w:jc w:val="center"/>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2.2.4</w:t>
            </w:r>
          </w:p>
        </w:tc>
        <w:tc>
          <w:tcPr>
            <w:tcW w:w="1478" w:type="dxa"/>
            <w:tcBorders>
              <w:top w:val="single" w:color="auto" w:sz="4" w:space="0"/>
              <w:left w:val="single" w:color="auto" w:sz="4" w:space="0"/>
              <w:bottom w:val="single" w:color="auto" w:sz="4" w:space="0"/>
              <w:right w:val="single" w:color="auto" w:sz="4" w:space="0"/>
            </w:tcBorders>
            <w:vAlign w:val="center"/>
          </w:tcPr>
          <w:p w14:paraId="16885DCD">
            <w:pPr>
              <w:snapToGrid w:val="0"/>
              <w:spacing w:line="460" w:lineRule="exact"/>
              <w:jc w:val="center"/>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比选申请人对比选文件及澄清修改提出异议的截止时间</w:t>
            </w:r>
          </w:p>
        </w:tc>
        <w:tc>
          <w:tcPr>
            <w:tcW w:w="7442" w:type="dxa"/>
            <w:tcBorders>
              <w:top w:val="single" w:color="auto" w:sz="4" w:space="0"/>
              <w:left w:val="single" w:color="auto" w:sz="4" w:space="0"/>
              <w:bottom w:val="single" w:color="auto" w:sz="4" w:space="0"/>
              <w:right w:val="single" w:color="auto" w:sz="4" w:space="0"/>
            </w:tcBorders>
            <w:vAlign w:val="center"/>
          </w:tcPr>
          <w:p w14:paraId="237D9342">
            <w:pPr>
              <w:topLinePunct/>
              <w:snapToGrid w:val="0"/>
              <w:spacing w:line="460" w:lineRule="exact"/>
              <w:ind w:firstLine="420" w:firstLineChars="200"/>
              <w:jc w:val="left"/>
              <w:rPr>
                <w:rFonts w:ascii="宋体" w:hAnsi="宋体"/>
                <w:color w:val="auto"/>
                <w:szCs w:val="21"/>
                <w:highlight w:val="none"/>
              </w:rPr>
            </w:pPr>
            <w:r>
              <w:rPr>
                <w:rFonts w:asciiTheme="minorEastAsia" w:hAnsiTheme="minorEastAsia" w:eastAsiaTheme="minorEastAsia"/>
                <w:snapToGrid w:val="0"/>
                <w:color w:val="auto"/>
                <w:kern w:val="0"/>
                <w:szCs w:val="21"/>
                <w:highlight w:val="none"/>
              </w:rPr>
              <w:t>比选申请人对比选文件和</w:t>
            </w:r>
            <w:r>
              <w:rPr>
                <w:rFonts w:hint="eastAsia" w:asciiTheme="minorEastAsia" w:hAnsiTheme="minorEastAsia" w:eastAsiaTheme="minorEastAsia"/>
                <w:snapToGrid w:val="0"/>
                <w:color w:val="auto"/>
                <w:kern w:val="0"/>
                <w:szCs w:val="21"/>
                <w:highlight w:val="none"/>
              </w:rPr>
              <w:t>澄清修改</w:t>
            </w:r>
            <w:r>
              <w:rPr>
                <w:rFonts w:asciiTheme="minorEastAsia" w:hAnsiTheme="minorEastAsia" w:eastAsiaTheme="minorEastAsia"/>
                <w:snapToGrid w:val="0"/>
                <w:color w:val="auto"/>
                <w:kern w:val="0"/>
                <w:szCs w:val="21"/>
                <w:highlight w:val="none"/>
              </w:rPr>
              <w:t>有异议的，应当在比选申请截止时间</w:t>
            </w:r>
            <w:r>
              <w:rPr>
                <w:rFonts w:hint="eastAsia" w:asciiTheme="minorEastAsia" w:hAnsiTheme="minorEastAsia" w:eastAsiaTheme="minorEastAsia"/>
                <w:snapToGrid w:val="0"/>
                <w:color w:val="auto"/>
                <w:kern w:val="0"/>
                <w:szCs w:val="21"/>
                <w:highlight w:val="none"/>
              </w:rPr>
              <w:t>3</w:t>
            </w:r>
            <w:r>
              <w:rPr>
                <w:rFonts w:asciiTheme="minorEastAsia" w:hAnsiTheme="minorEastAsia" w:eastAsiaTheme="minorEastAsia"/>
                <w:snapToGrid w:val="0"/>
                <w:color w:val="auto"/>
                <w:kern w:val="0"/>
                <w:szCs w:val="21"/>
                <w:highlight w:val="none"/>
              </w:rPr>
              <w:t>日前，</w:t>
            </w:r>
            <w:r>
              <w:rPr>
                <w:rFonts w:hint="eastAsia" w:asciiTheme="minorEastAsia" w:hAnsiTheme="minorEastAsia" w:eastAsiaTheme="minorEastAsia"/>
                <w:snapToGrid w:val="0"/>
                <w:color w:val="auto"/>
                <w:kern w:val="0"/>
                <w:szCs w:val="21"/>
                <w:highlight w:val="none"/>
              </w:rPr>
              <w:t>以书面形式通知比选人或比选代理机构</w:t>
            </w:r>
            <w:r>
              <w:rPr>
                <w:rFonts w:asciiTheme="minorEastAsia" w:hAnsiTheme="minorEastAsia" w:eastAsiaTheme="minorEastAsia"/>
                <w:snapToGrid w:val="0"/>
                <w:color w:val="auto"/>
                <w:kern w:val="0"/>
                <w:szCs w:val="21"/>
                <w:highlight w:val="none"/>
              </w:rPr>
              <w:t>。比选人应当自收到异议之日起3日内做出答复，</w:t>
            </w:r>
            <w:r>
              <w:rPr>
                <w:rFonts w:hint="eastAsia" w:asciiTheme="minorEastAsia" w:hAnsiTheme="minorEastAsia" w:eastAsiaTheme="minorEastAsia"/>
                <w:snapToGrid w:val="0"/>
                <w:color w:val="auto"/>
                <w:kern w:val="0"/>
                <w:szCs w:val="21"/>
                <w:highlight w:val="none"/>
              </w:rPr>
              <w:t>答复内容可能影响比选申请文件编制的，将以修改的形式于比选申请截止时间3日前</w:t>
            </w:r>
            <w:r>
              <w:rPr>
                <w:rFonts w:hint="eastAsia" w:ascii="宋体" w:hAnsi="宋体"/>
                <w:snapToGrid w:val="0"/>
                <w:color w:val="auto"/>
                <w:kern w:val="0"/>
                <w:szCs w:val="21"/>
                <w:highlight w:val="none"/>
              </w:rPr>
              <w:t>向所有报名的比选申请人发出书面澄清</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snapToGrid w:val="0"/>
                <w:color w:val="auto"/>
                <w:kern w:val="0"/>
                <w:szCs w:val="21"/>
                <w:highlight w:val="none"/>
              </w:rPr>
              <w:t>发布时间至比选申请截止时间不足3日的，须相应延后比选申请截止时间</w:t>
            </w:r>
            <w:r>
              <w:rPr>
                <w:rFonts w:asciiTheme="minorEastAsia" w:hAnsiTheme="minorEastAsia" w:eastAsiaTheme="minorEastAsia"/>
                <w:snapToGrid w:val="0"/>
                <w:color w:val="auto"/>
                <w:kern w:val="0"/>
                <w:szCs w:val="21"/>
                <w:highlight w:val="none"/>
              </w:rPr>
              <w:t>。</w:t>
            </w:r>
          </w:p>
        </w:tc>
      </w:tr>
      <w:tr w14:paraId="0E37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4F933440">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478" w:type="dxa"/>
            <w:tcBorders>
              <w:top w:val="single" w:color="auto" w:sz="4" w:space="0"/>
              <w:left w:val="single" w:color="auto" w:sz="4" w:space="0"/>
              <w:bottom w:val="single" w:color="auto" w:sz="4" w:space="0"/>
              <w:right w:val="single" w:color="auto" w:sz="4" w:space="0"/>
            </w:tcBorders>
            <w:vAlign w:val="center"/>
          </w:tcPr>
          <w:p w14:paraId="7EBC7055">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构成比选申请文件的其他材料</w:t>
            </w:r>
          </w:p>
        </w:tc>
        <w:tc>
          <w:tcPr>
            <w:tcW w:w="7442" w:type="dxa"/>
            <w:tcBorders>
              <w:top w:val="single" w:color="auto" w:sz="4" w:space="0"/>
              <w:left w:val="single" w:color="auto" w:sz="4" w:space="0"/>
              <w:bottom w:val="single" w:color="auto" w:sz="4" w:space="0"/>
              <w:right w:val="single" w:color="auto" w:sz="4" w:space="0"/>
            </w:tcBorders>
            <w:vAlign w:val="center"/>
          </w:tcPr>
          <w:p w14:paraId="29E2CCA9">
            <w:pPr>
              <w:snapToGrid w:val="0"/>
              <w:spacing w:line="460" w:lineRule="exact"/>
              <w:rPr>
                <w:rFonts w:ascii="宋体" w:hAnsi="宋体"/>
                <w:color w:val="auto"/>
                <w:kern w:val="0"/>
                <w:highlight w:val="none"/>
              </w:rPr>
            </w:pPr>
            <w:r>
              <w:rPr>
                <w:rFonts w:hint="eastAsia" w:ascii="宋体" w:hAnsi="宋体"/>
                <w:color w:val="auto"/>
                <w:kern w:val="0"/>
                <w:highlight w:val="none"/>
              </w:rPr>
              <w:t>比选申请人的书面澄清、说明和补正（但不得改变比选申请文件的实质性内容）</w:t>
            </w:r>
          </w:p>
        </w:tc>
      </w:tr>
      <w:tr w14:paraId="0C59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6F4D2E92">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478" w:type="dxa"/>
            <w:tcBorders>
              <w:top w:val="single" w:color="auto" w:sz="4" w:space="0"/>
              <w:left w:val="single" w:color="auto" w:sz="4" w:space="0"/>
              <w:bottom w:val="single" w:color="auto" w:sz="4" w:space="0"/>
              <w:right w:val="single" w:color="auto" w:sz="4" w:space="0"/>
            </w:tcBorders>
            <w:vAlign w:val="center"/>
          </w:tcPr>
          <w:p w14:paraId="3BC39F16">
            <w:pPr>
              <w:snapToGrid w:val="0"/>
              <w:spacing w:line="460" w:lineRule="exact"/>
              <w:jc w:val="center"/>
              <w:rPr>
                <w:rFonts w:ascii="宋体" w:hAnsi="宋体" w:cs="宋体"/>
                <w:color w:val="auto"/>
                <w:kern w:val="0"/>
                <w:szCs w:val="21"/>
                <w:highlight w:val="none"/>
              </w:rPr>
            </w:pPr>
            <w:r>
              <w:rPr>
                <w:rFonts w:hint="eastAsia" w:ascii="宋体" w:hAnsi="宋体"/>
                <w:color w:val="auto"/>
                <w:szCs w:val="21"/>
                <w:highlight w:val="none"/>
              </w:rPr>
              <w:t>比选申请</w:t>
            </w:r>
            <w:r>
              <w:rPr>
                <w:rFonts w:hint="eastAsia" w:ascii="宋体" w:hAnsi="宋体" w:cs="宋体"/>
                <w:color w:val="auto"/>
                <w:kern w:val="0"/>
                <w:szCs w:val="21"/>
                <w:highlight w:val="none"/>
              </w:rPr>
              <w:t>报价</w:t>
            </w:r>
          </w:p>
        </w:tc>
        <w:tc>
          <w:tcPr>
            <w:tcW w:w="7442" w:type="dxa"/>
            <w:tcBorders>
              <w:top w:val="single" w:color="auto" w:sz="4" w:space="0"/>
              <w:left w:val="single" w:color="auto" w:sz="4" w:space="0"/>
              <w:bottom w:val="single" w:color="auto" w:sz="4" w:space="0"/>
              <w:right w:val="single" w:color="auto" w:sz="4" w:space="0"/>
            </w:tcBorders>
            <w:vAlign w:val="center"/>
          </w:tcPr>
          <w:p w14:paraId="750C7D6E">
            <w:pPr>
              <w:numPr>
                <w:ilvl w:val="0"/>
                <w:numId w:val="1"/>
              </w:numPr>
              <w:tabs>
                <w:tab w:val="left" w:pos="546"/>
                <w:tab w:val="left" w:pos="711"/>
                <w:tab w:val="clear" w:pos="312"/>
              </w:tabs>
              <w:snapToGrid w:val="0"/>
              <w:spacing w:line="460" w:lineRule="exact"/>
              <w:ind w:firstLine="420" w:firstLineChars="200"/>
              <w:rPr>
                <w:rFonts w:ascii="宋体" w:hAnsi="宋体" w:cs="宋体"/>
                <w:color w:val="auto"/>
                <w:highlight w:val="none"/>
              </w:rPr>
            </w:pPr>
            <w:r>
              <w:rPr>
                <w:rFonts w:hint="eastAsia" w:ascii="宋体" w:hAnsi="宋体" w:cs="宋体"/>
                <w:color w:val="auto"/>
                <w:highlight w:val="none"/>
              </w:rPr>
              <w:t>比选申请报价应为完成比选申请人须知前附表1</w:t>
            </w:r>
            <w:r>
              <w:rPr>
                <w:rFonts w:ascii="宋体" w:hAnsi="宋体" w:cs="宋体"/>
                <w:color w:val="auto"/>
                <w:highlight w:val="none"/>
              </w:rPr>
              <w:t>.3.1</w:t>
            </w:r>
            <w:r>
              <w:rPr>
                <w:rFonts w:hint="eastAsia" w:ascii="宋体" w:hAnsi="宋体" w:cs="宋体"/>
                <w:color w:val="auto"/>
                <w:highlight w:val="none"/>
              </w:rPr>
              <w:t>条规定的比选范围内所有工作以及按合同约定</w:t>
            </w:r>
            <w:r>
              <w:rPr>
                <w:rFonts w:hint="eastAsia" w:ascii="宋体" w:hAnsi="宋体"/>
                <w:bCs/>
                <w:color w:val="auto"/>
                <w:szCs w:val="21"/>
                <w:highlight w:val="none"/>
              </w:rPr>
              <w:t>交付比选人项目</w:t>
            </w:r>
            <w:r>
              <w:rPr>
                <w:rFonts w:hint="eastAsia" w:ascii="宋体" w:hAnsi="宋体" w:cs="宋体"/>
                <w:color w:val="auto"/>
                <w:highlight w:val="none"/>
              </w:rPr>
              <w:t>所需的全部费用</w:t>
            </w:r>
          </w:p>
          <w:p w14:paraId="69CEB708">
            <w:pPr>
              <w:numPr>
                <w:ilvl w:val="0"/>
                <w:numId w:val="1"/>
              </w:numPr>
              <w:tabs>
                <w:tab w:val="left" w:pos="546"/>
                <w:tab w:val="left" w:pos="711"/>
                <w:tab w:val="clear" w:pos="312"/>
              </w:tabs>
              <w:snapToGrid w:val="0"/>
              <w:spacing w:line="460" w:lineRule="exact"/>
              <w:ind w:firstLine="420" w:firstLineChars="200"/>
              <w:rPr>
                <w:rFonts w:ascii="宋体" w:hAnsi="宋体"/>
                <w:bCs/>
                <w:color w:val="auto"/>
                <w:szCs w:val="21"/>
                <w:highlight w:val="none"/>
              </w:rPr>
            </w:pPr>
            <w:r>
              <w:rPr>
                <w:rFonts w:hint="eastAsia" w:ascii="宋体" w:hAnsi="宋体"/>
                <w:color w:val="auto"/>
                <w:szCs w:val="21"/>
                <w:highlight w:val="none"/>
              </w:rPr>
              <w:t>具体包括为实施和完成本项目比选范围</w:t>
            </w:r>
            <w:r>
              <w:rPr>
                <w:rFonts w:hint="eastAsia" w:ascii="宋体" w:hAnsi="宋体"/>
                <w:bCs/>
                <w:color w:val="auto"/>
                <w:szCs w:val="21"/>
                <w:highlight w:val="none"/>
              </w:rPr>
              <w:t>人工费、建筑设备材料费、施工机具使用费、企业管理费、利润、一般风险费、措施项目费（含临时设施费、检验检测费、系统集成费、安全文明施工费）、其他项目费、规费、税金、比选文件及合同约定的相关费用、政策性文件规定的全部费用。</w:t>
            </w:r>
          </w:p>
          <w:p w14:paraId="021E7F05">
            <w:pPr>
              <w:tabs>
                <w:tab w:val="left" w:pos="546"/>
                <w:tab w:val="left" w:pos="711"/>
              </w:tabs>
              <w:snapToGrid w:val="0"/>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3.报价方式</w:t>
            </w:r>
          </w:p>
          <w:p w14:paraId="749931EB">
            <w:pPr>
              <w:tabs>
                <w:tab w:val="left" w:pos="546"/>
                <w:tab w:val="left" w:pos="711"/>
              </w:tabs>
              <w:snapToGrid w:val="0"/>
              <w:spacing w:line="460" w:lineRule="exact"/>
              <w:ind w:firstLine="420" w:firstLineChars="200"/>
              <w:rPr>
                <w:rFonts w:ascii="宋体" w:hAnsi="宋体"/>
                <w:bCs/>
                <w:color w:val="auto"/>
                <w:szCs w:val="21"/>
                <w:highlight w:val="none"/>
              </w:rPr>
            </w:pPr>
            <w:r>
              <w:rPr>
                <w:rFonts w:hint="eastAsia" w:ascii="宋体" w:hAnsi="宋体"/>
                <w:color w:val="auto"/>
                <w:kern w:val="0"/>
                <w:szCs w:val="21"/>
                <w:highlight w:val="none"/>
              </w:rPr>
              <w:t>本项目采用固定费率包干的方式，</w:t>
            </w:r>
            <w:r>
              <w:rPr>
                <w:rFonts w:hint="eastAsia" w:ascii="宋体" w:hAnsi="宋体"/>
                <w:bCs/>
                <w:color w:val="auto"/>
                <w:kern w:val="0"/>
                <w:szCs w:val="21"/>
                <w:highlight w:val="none"/>
              </w:rPr>
              <w:t>比选申请人根据项目情况、自身实力、市场行情填报</w:t>
            </w:r>
            <w:r>
              <w:rPr>
                <w:rFonts w:hint="eastAsia" w:ascii="宋体" w:hAnsi="宋体"/>
                <w:bCs/>
                <w:color w:val="auto"/>
                <w:szCs w:val="21"/>
                <w:highlight w:val="none"/>
              </w:rPr>
              <w:t>建筑安装工程费比选申请报价。比选申请报价保留两位小数，小数点后第三位四舍五入，</w:t>
            </w:r>
            <w:r>
              <w:rPr>
                <w:rFonts w:hint="eastAsia"/>
                <w:color w:val="auto"/>
                <w:highlight w:val="none"/>
              </w:rPr>
              <w:t>不足两位的按实际位数保留</w:t>
            </w:r>
            <w:r>
              <w:rPr>
                <w:rFonts w:hint="eastAsia" w:ascii="宋体" w:hAnsi="宋体"/>
                <w:bCs/>
                <w:color w:val="auto"/>
                <w:szCs w:val="21"/>
                <w:highlight w:val="none"/>
              </w:rPr>
              <w:t>。在工程施工全过程中，</w:t>
            </w:r>
            <w:r>
              <w:rPr>
                <w:rFonts w:hint="eastAsia" w:ascii="宋体 ，Arial" w:hAnsi="宋体" w:eastAsia="宋体 ，Arial" w:cs="宋体"/>
                <w:color w:val="auto"/>
                <w:kern w:val="0"/>
                <w:szCs w:val="21"/>
                <w:highlight w:val="none"/>
              </w:rPr>
              <w:t>除合同约定可以调整的情形外，</w:t>
            </w:r>
            <w:r>
              <w:rPr>
                <w:rFonts w:hint="eastAsia" w:ascii="宋体" w:hAnsi="宋体"/>
                <w:color w:val="auto"/>
                <w:kern w:val="0"/>
                <w:szCs w:val="21"/>
                <w:highlight w:val="none"/>
              </w:rPr>
              <w:t>固定费率</w:t>
            </w:r>
            <w:r>
              <w:rPr>
                <w:rFonts w:hint="eastAsia" w:ascii="宋体 ，Arial" w:hAnsi="宋体" w:eastAsia="宋体 ，Arial" w:cs="宋体"/>
                <w:color w:val="auto"/>
                <w:kern w:val="0"/>
                <w:szCs w:val="21"/>
                <w:highlight w:val="none"/>
              </w:rPr>
              <w:t>不予调整。</w:t>
            </w:r>
            <w:r>
              <w:rPr>
                <w:rFonts w:hint="eastAsia" w:ascii="宋体" w:hAnsi="宋体"/>
                <w:bCs/>
                <w:color w:val="auto"/>
                <w:szCs w:val="21"/>
                <w:highlight w:val="none"/>
              </w:rPr>
              <w:t>投标总报价=建筑安装工程费比选申请报价。</w:t>
            </w:r>
          </w:p>
          <w:p w14:paraId="5D241333">
            <w:pPr>
              <w:tabs>
                <w:tab w:val="left" w:pos="546"/>
                <w:tab w:val="left" w:pos="711"/>
              </w:tabs>
              <w:snapToGrid w:val="0"/>
              <w:spacing w:line="460" w:lineRule="exact"/>
              <w:ind w:firstLine="422" w:firstLineChars="200"/>
              <w:rPr>
                <w:rFonts w:ascii="宋体" w:hAnsi="宋体"/>
                <w:b/>
                <w:bCs/>
                <w:color w:val="auto"/>
                <w:szCs w:val="21"/>
                <w:highlight w:val="none"/>
              </w:rPr>
            </w:pPr>
            <w:r>
              <w:rPr>
                <w:rFonts w:ascii="宋体" w:hAnsi="宋体"/>
                <w:b/>
                <w:bCs/>
                <w:color w:val="auto"/>
                <w:szCs w:val="21"/>
                <w:highlight w:val="none"/>
              </w:rPr>
              <w:t>暂定投标总报价不作为结算依据，只作为评标的评审依据。</w:t>
            </w:r>
          </w:p>
          <w:p w14:paraId="11D54C8F">
            <w:pPr>
              <w:tabs>
                <w:tab w:val="left" w:pos="546"/>
                <w:tab w:val="left" w:pos="711"/>
              </w:tabs>
              <w:snapToGrid w:val="0"/>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3.1建筑安装工程费</w:t>
            </w:r>
          </w:p>
          <w:p w14:paraId="6F1769B4">
            <w:pPr>
              <w:tabs>
                <w:tab w:val="left" w:pos="546"/>
                <w:tab w:val="left" w:pos="711"/>
              </w:tabs>
              <w:snapToGrid w:val="0"/>
              <w:spacing w:line="460" w:lineRule="exact"/>
              <w:ind w:firstLine="420" w:firstLineChars="200"/>
              <w:rPr>
                <w:color w:val="auto"/>
                <w:highlight w:val="none"/>
              </w:rPr>
            </w:pPr>
            <w:r>
              <w:rPr>
                <w:rFonts w:hint="eastAsia" w:ascii="宋体" w:hAnsi="宋体"/>
                <w:bCs/>
                <w:color w:val="auto"/>
                <w:szCs w:val="21"/>
                <w:highlight w:val="none"/>
              </w:rPr>
              <w:t>建筑安装工程费比选申请报价包括完成比选范围内工程项目的人工费、建筑设备材料费、施工机具使用费、企业管理费、利润、一般风险费、措施项目费（含临时设施费、检验检测费、系统集成费、安全文明施工费）、其他项目费、规费、税金、比选文件及合同约定的相关费用、政策性文件规定的所有费用。</w:t>
            </w:r>
          </w:p>
          <w:p w14:paraId="3875EE1E">
            <w:pPr>
              <w:widowControl/>
              <w:adjustRightInd w:val="0"/>
              <w:snapToGrid w:val="0"/>
              <w:spacing w:after="163" w:afterLines="50" w:line="48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暂定</w:t>
            </w:r>
            <w:r>
              <w:rPr>
                <w:rFonts w:hint="eastAsia" w:ascii="宋体" w:hAnsi="宋体"/>
                <w:bCs/>
                <w:color w:val="auto"/>
                <w:szCs w:val="21"/>
                <w:highlight w:val="none"/>
              </w:rPr>
              <w:t>建筑安装工程费比选申请报价=估算建筑安装工程费</w:t>
            </w:r>
            <w:r>
              <w:rPr>
                <w:rFonts w:hint="eastAsia" w:ascii="宋体" w:hAnsi="宋体"/>
                <w:bCs/>
                <w:color w:val="auto"/>
                <w:szCs w:val="21"/>
                <w:highlight w:val="none"/>
                <w:u w:val="single"/>
                <w:lang w:val="en-US" w:eastAsia="zh-CN"/>
              </w:rPr>
              <w:t>3800000</w:t>
            </w:r>
            <w:r>
              <w:rPr>
                <w:rFonts w:hint="eastAsia" w:ascii="宋体" w:hAnsi="宋体"/>
                <w:bCs/>
                <w:color w:val="auto"/>
                <w:szCs w:val="21"/>
                <w:highlight w:val="none"/>
              </w:rPr>
              <w:t>元×固定费率报价。</w:t>
            </w:r>
          </w:p>
          <w:p w14:paraId="2E3D7835">
            <w:pPr>
              <w:tabs>
                <w:tab w:val="left" w:pos="546"/>
                <w:tab w:val="left" w:pos="711"/>
              </w:tabs>
              <w:snapToGrid w:val="0"/>
              <w:spacing w:line="460" w:lineRule="exact"/>
              <w:ind w:firstLine="420" w:firstLineChars="200"/>
              <w:rPr>
                <w:rFonts w:ascii="宋体" w:hAnsi="宋体"/>
                <w:color w:val="auto"/>
                <w:szCs w:val="21"/>
                <w:highlight w:val="none"/>
              </w:rPr>
            </w:pPr>
            <w:r>
              <w:rPr>
                <w:rFonts w:hint="eastAsia"/>
                <w:color w:val="auto"/>
                <w:highlight w:val="none"/>
              </w:rPr>
              <w:t>建筑安装工程费固定费率报价以百分号为单位，百分号前保留两位小数，第三位四舍五入，不足两位的按实际位数保留。</w:t>
            </w:r>
          </w:p>
          <w:p w14:paraId="03617823">
            <w:pPr>
              <w:tabs>
                <w:tab w:val="left" w:pos="546"/>
                <w:tab w:val="left" w:pos="711"/>
              </w:tabs>
              <w:snapToGrid w:val="0"/>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3.1.1</w:t>
            </w:r>
            <w:r>
              <w:rPr>
                <w:rFonts w:hint="eastAsia" w:ascii="宋体" w:hAnsi="宋体"/>
                <w:color w:val="auto"/>
                <w:szCs w:val="21"/>
                <w:highlight w:val="none"/>
              </w:rPr>
              <w:t>计价原则</w:t>
            </w:r>
          </w:p>
          <w:p w14:paraId="5D6F26DE">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使用国有资金投资的建设工程发承包，必须采用工程量清单计价。工程量清单应采用综合单价计价。</w:t>
            </w:r>
          </w:p>
          <w:p w14:paraId="077EA60B">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（2）以《建设工程工程量清单计价规范》（GB50500-2013）</w:t>
            </w:r>
            <w:r>
              <w:rPr>
                <w:rFonts w:hint="eastAsia" w:ascii="宋体" w:hAnsi="宋体"/>
                <w:bCs/>
                <w:color w:val="auto"/>
                <w:szCs w:val="21"/>
                <w:highlight w:val="none"/>
              </w:rPr>
              <w:t>、《重庆市建设工程工程量清单计价规则》（CQ</w:t>
            </w:r>
            <w:r>
              <w:rPr>
                <w:rFonts w:ascii="宋体" w:hAnsi="宋体"/>
                <w:bCs/>
                <w:color w:val="auto"/>
                <w:szCs w:val="21"/>
                <w:highlight w:val="none"/>
              </w:rPr>
              <w:t>JJ</w:t>
            </w:r>
            <w:r>
              <w:rPr>
                <w:rFonts w:hint="eastAsia" w:ascii="宋体" w:hAnsi="宋体"/>
                <w:bCs/>
                <w:color w:val="auto"/>
                <w:szCs w:val="21"/>
                <w:highlight w:val="none"/>
              </w:rPr>
              <w:t>GZ-2013）、</w:t>
            </w:r>
            <w:r>
              <w:rPr>
                <w:rFonts w:hint="eastAsia" w:ascii="宋体" w:hAnsi="宋体" w:cs="宋体"/>
                <w:color w:val="auto"/>
                <w:szCs w:val="21"/>
                <w:highlight w:val="none"/>
              </w:rPr>
              <w:t>《重庆市建设工程费用定额》（CQFYDE-2018）、《重庆市城乡建设委员会关于适用增值税新税率调整建设工程计价依据的通知》（渝建〔2019〕143号）</w:t>
            </w:r>
            <w:r>
              <w:rPr>
                <w:rFonts w:hint="eastAsia" w:ascii="宋体" w:hAnsi="宋体"/>
                <w:bCs/>
                <w:color w:val="auto"/>
                <w:szCs w:val="21"/>
                <w:highlight w:val="none"/>
              </w:rPr>
              <w:t>等相关配套定额及文件为依据。</w:t>
            </w:r>
          </w:p>
          <w:p w14:paraId="76B5DBEC">
            <w:pPr>
              <w:adjustRightInd w:val="0"/>
              <w:snapToGrid w:val="0"/>
              <w:spacing w:line="460" w:lineRule="exact"/>
              <w:ind w:firstLine="420"/>
              <w:rPr>
                <w:rFonts w:ascii="宋体" w:hAnsi="宋体"/>
                <w:bCs/>
                <w:color w:val="auto"/>
                <w:szCs w:val="21"/>
                <w:highlight w:val="none"/>
              </w:rPr>
            </w:pPr>
            <w:r>
              <w:rPr>
                <w:rFonts w:hint="eastAsia" w:ascii="宋体" w:hAnsi="宋体"/>
                <w:bCs/>
                <w:color w:val="auto"/>
                <w:szCs w:val="21"/>
                <w:highlight w:val="none"/>
              </w:rPr>
              <w:t>（3）人工单价的确定原则</w:t>
            </w:r>
          </w:p>
          <w:p w14:paraId="663700CA">
            <w:pPr>
              <w:pStyle w:val="2"/>
              <w:tabs>
                <w:tab w:val="left" w:pos="546"/>
                <w:tab w:val="left" w:pos="711"/>
              </w:tabs>
              <w:snapToGrid w:val="0"/>
              <w:spacing w:after="0" w:line="460" w:lineRule="exact"/>
              <w:ind w:firstLine="525" w:firstLineChars="250"/>
              <w:rPr>
                <w:rFonts w:hint="eastAsia" w:ascii="宋体" w:hAnsi="宋体"/>
                <w:bCs/>
                <w:color w:val="auto"/>
                <w:szCs w:val="21"/>
                <w:highlight w:val="none"/>
              </w:rPr>
            </w:pPr>
            <w:r>
              <w:rPr>
                <w:rFonts w:hint="eastAsia" w:ascii="宋体" w:hAnsi="宋体"/>
                <w:bCs/>
                <w:color w:val="auto"/>
                <w:szCs w:val="21"/>
                <w:highlight w:val="none"/>
              </w:rPr>
              <w:t>按开标当期《重庆工程造价》发布的人工信息价执行。</w:t>
            </w:r>
          </w:p>
          <w:p w14:paraId="6A3AF1A6">
            <w:pPr>
              <w:adjustRightInd w:val="0"/>
              <w:snapToGrid w:val="0"/>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（4）材料和设备（不包括专业设备材料）</w:t>
            </w:r>
          </w:p>
          <w:p w14:paraId="38A2C4FB">
            <w:pPr>
              <w:pStyle w:val="2"/>
              <w:tabs>
                <w:tab w:val="left" w:pos="546"/>
                <w:tab w:val="left" w:pos="711"/>
              </w:tabs>
              <w:snapToGrid w:val="0"/>
              <w:spacing w:after="0" w:line="460" w:lineRule="exact"/>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a.</w:t>
            </w:r>
            <w:r>
              <w:rPr>
                <w:rFonts w:hint="eastAsia"/>
                <w:color w:val="auto"/>
                <w:highlight w:val="none"/>
              </w:rPr>
              <w:t xml:space="preserve"> </w:t>
            </w:r>
            <w:r>
              <w:rPr>
                <w:rFonts w:hint="eastAsia" w:ascii="宋体" w:hAnsi="宋体"/>
                <w:bCs/>
                <w:color w:val="auto"/>
                <w:szCs w:val="21"/>
                <w:highlight w:val="none"/>
              </w:rPr>
              <w:t>按开标当期《重庆工程造价》发布的信息价执行。</w:t>
            </w:r>
          </w:p>
          <w:p w14:paraId="4467C2EF">
            <w:pPr>
              <w:pStyle w:val="2"/>
              <w:tabs>
                <w:tab w:val="left" w:pos="546"/>
                <w:tab w:val="left" w:pos="711"/>
              </w:tabs>
              <w:snapToGrid w:val="0"/>
              <w:spacing w:after="0"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b.《重庆工程造价》无相应指导价的材料和设备价格确定方法：</w:t>
            </w:r>
            <w:r>
              <w:rPr>
                <w:rFonts w:hint="eastAsia"/>
                <w:color w:val="auto"/>
                <w:highlight w:val="none"/>
              </w:rPr>
              <w:t>由咨询单位根据市场及其他方式询价，计入预算。</w:t>
            </w:r>
          </w:p>
          <w:p w14:paraId="4192B0DF">
            <w:pPr>
              <w:pStyle w:val="2"/>
              <w:tabs>
                <w:tab w:val="left" w:pos="546"/>
                <w:tab w:val="left" w:pos="711"/>
              </w:tabs>
              <w:snapToGrid w:val="0"/>
              <w:spacing w:after="0" w:line="460" w:lineRule="exact"/>
              <w:ind w:firstLine="420" w:firstLineChars="200"/>
              <w:rPr>
                <w:rFonts w:ascii="宋体" w:hAnsi="宋体"/>
                <w:bCs/>
                <w:color w:val="auto"/>
                <w:szCs w:val="21"/>
                <w:highlight w:val="none"/>
              </w:rPr>
            </w:pPr>
            <w:r>
              <w:rPr>
                <w:rFonts w:hint="eastAsia" w:ascii="宋体" w:hAnsi="宋体" w:cs="宋体"/>
                <w:color w:val="auto"/>
                <w:szCs w:val="21"/>
                <w:highlight w:val="none"/>
              </w:rPr>
              <w:t>c.</w:t>
            </w:r>
            <w:r>
              <w:rPr>
                <w:rFonts w:hint="eastAsia" w:ascii="宋体" w:hAnsi="宋体"/>
                <w:bCs/>
                <w:color w:val="auto"/>
                <w:szCs w:val="21"/>
                <w:highlight w:val="none"/>
              </w:rPr>
              <w:t>材料调差调整范围和计算方法：</w:t>
            </w:r>
            <w:r>
              <w:rPr>
                <w:rFonts w:hint="eastAsia" w:ascii="宋体" w:hAnsi="宋体"/>
                <w:bCs/>
                <w:color w:val="auto"/>
                <w:szCs w:val="21"/>
                <w:highlight w:val="none"/>
                <w:u w:val="single"/>
              </w:rPr>
              <w:t>详见合同专用条款</w:t>
            </w:r>
            <w:r>
              <w:rPr>
                <w:rFonts w:hint="eastAsia" w:ascii="宋体" w:hAnsi="宋体"/>
                <w:bCs/>
                <w:color w:val="auto"/>
                <w:szCs w:val="21"/>
                <w:highlight w:val="none"/>
              </w:rPr>
              <w:t>。</w:t>
            </w:r>
          </w:p>
          <w:p w14:paraId="625FD3C3">
            <w:pPr>
              <w:pStyle w:val="2"/>
              <w:tabs>
                <w:tab w:val="left" w:pos="546"/>
                <w:tab w:val="left" w:pos="711"/>
              </w:tabs>
              <w:snapToGrid w:val="0"/>
              <w:spacing w:after="0"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d.材料和设备的其他约定：</w:t>
            </w:r>
            <w:r>
              <w:rPr>
                <w:rFonts w:hint="eastAsia" w:ascii="宋体" w:hAnsi="宋体"/>
                <w:bCs/>
                <w:color w:val="auto"/>
                <w:szCs w:val="21"/>
                <w:highlight w:val="none"/>
                <w:u w:val="single"/>
              </w:rPr>
              <w:t>详见合同专用条款</w:t>
            </w:r>
            <w:r>
              <w:rPr>
                <w:rFonts w:hint="eastAsia" w:ascii="宋体" w:hAnsi="宋体"/>
                <w:bCs/>
                <w:color w:val="auto"/>
                <w:szCs w:val="21"/>
                <w:highlight w:val="none"/>
              </w:rPr>
              <w:t>。</w:t>
            </w:r>
          </w:p>
          <w:p w14:paraId="43628CEB">
            <w:pPr>
              <w:pStyle w:val="2"/>
              <w:tabs>
                <w:tab w:val="left" w:pos="546"/>
                <w:tab w:val="left" w:pos="711"/>
              </w:tabs>
              <w:snapToGrid w:val="0"/>
              <w:spacing w:after="0" w:line="460" w:lineRule="exact"/>
              <w:ind w:firstLine="420" w:firstLineChars="200"/>
              <w:rPr>
                <w:rFonts w:ascii="宋体" w:hAnsi="宋体"/>
                <w:bCs/>
                <w:color w:val="auto"/>
                <w:szCs w:val="21"/>
                <w:highlight w:val="none"/>
              </w:rPr>
            </w:pPr>
            <w:r>
              <w:rPr>
                <w:rFonts w:ascii="宋体" w:hAnsi="宋体"/>
                <w:bCs/>
                <w:color w:val="auto"/>
                <w:szCs w:val="21"/>
                <w:highlight w:val="none"/>
              </w:rPr>
              <w:t>e.本工程所需材料、设备由中标人自行采购，但所采购的材料必须符合国家规范标准及设计文件要求。使用不合格材料和不允许使用的材料，所产生的一切后果由承包人承担全部责任。</w:t>
            </w:r>
          </w:p>
          <w:p w14:paraId="400F1699">
            <w:pPr>
              <w:pStyle w:val="2"/>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安全文明施工费：</w:t>
            </w:r>
          </w:p>
          <w:p w14:paraId="5F8B5C31">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a.根据《关于印发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的通知》（渝建发〔2024〕号38号）规定，安全文明施工费由安全施工费、文明施工费、环境保护费及临时设施费组成。</w:t>
            </w:r>
          </w:p>
          <w:p w14:paraId="01F04BE3">
            <w:pPr>
              <w:pStyle w:val="97"/>
              <w:spacing w:line="460" w:lineRule="exact"/>
              <w:ind w:firstLineChars="200"/>
              <w:rPr>
                <w:color w:val="auto"/>
                <w:sz w:val="21"/>
                <w:szCs w:val="21"/>
                <w:highlight w:val="none"/>
              </w:rPr>
            </w:pPr>
            <w:r>
              <w:rPr>
                <w:rFonts w:hint="eastAsia"/>
                <w:color w:val="auto"/>
                <w:sz w:val="21"/>
                <w:szCs w:val="21"/>
                <w:highlight w:val="none"/>
              </w:rPr>
              <w:t>b.</w:t>
            </w:r>
            <w:r>
              <w:rPr>
                <w:color w:val="auto"/>
                <w:sz w:val="21"/>
                <w:szCs w:val="21"/>
                <w:highlight w:val="none"/>
              </w:rPr>
              <w:t>本工程安全文明施工费根据《建设工程工程量清单计价规范》（GB50500-2013）、《重庆市建设工程工程量清单计价规则》（CQJJGZ-2013）、《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w:t>
            </w:r>
            <w:r>
              <w:rPr>
                <w:color w:val="auto"/>
                <w:sz w:val="21"/>
                <w:szCs w:val="21"/>
                <w:highlight w:val="none"/>
              </w:rPr>
              <w:t>的相关规定和费用标准单列计算。</w:t>
            </w:r>
            <w:r>
              <w:rPr>
                <w:rFonts w:hint="eastAsia"/>
                <w:color w:val="auto"/>
                <w:sz w:val="21"/>
                <w:szCs w:val="21"/>
                <w:highlight w:val="none"/>
              </w:rPr>
              <w:t>安全文明施工费暂定额为10万元。</w:t>
            </w:r>
            <w:r>
              <w:rPr>
                <w:color w:val="auto"/>
                <w:sz w:val="21"/>
                <w:szCs w:val="21"/>
                <w:highlight w:val="none"/>
              </w:rPr>
              <w:t>《</w:t>
            </w:r>
            <w:r>
              <w:rPr>
                <w:rFonts w:hint="eastAsia"/>
                <w:color w:val="auto"/>
                <w:sz w:val="21"/>
                <w:szCs w:val="21"/>
                <w:highlight w:val="none"/>
              </w:rPr>
              <w:t>比选申请</w:t>
            </w:r>
            <w:r>
              <w:rPr>
                <w:color w:val="auto"/>
                <w:sz w:val="21"/>
                <w:szCs w:val="21"/>
                <w:highlight w:val="none"/>
              </w:rPr>
              <w:t>函》中的安全文明施工费</w:t>
            </w:r>
            <w:r>
              <w:rPr>
                <w:rFonts w:hint="eastAsia"/>
                <w:color w:val="auto"/>
                <w:sz w:val="21"/>
                <w:szCs w:val="21"/>
                <w:highlight w:val="none"/>
              </w:rPr>
              <w:t>金额未</w:t>
            </w:r>
            <w:r>
              <w:rPr>
                <w:color w:val="auto"/>
                <w:sz w:val="21"/>
                <w:szCs w:val="21"/>
                <w:highlight w:val="none"/>
              </w:rPr>
              <w:t>按照</w:t>
            </w:r>
            <w:r>
              <w:rPr>
                <w:rFonts w:hint="eastAsia"/>
                <w:color w:val="auto"/>
                <w:sz w:val="21"/>
                <w:szCs w:val="21"/>
                <w:highlight w:val="none"/>
              </w:rPr>
              <w:t>比选</w:t>
            </w:r>
            <w:r>
              <w:rPr>
                <w:color w:val="auto"/>
                <w:sz w:val="21"/>
                <w:szCs w:val="21"/>
                <w:highlight w:val="none"/>
              </w:rPr>
              <w:t>人给出的暂定金额填报</w:t>
            </w:r>
            <w:r>
              <w:rPr>
                <w:rFonts w:hint="eastAsia"/>
                <w:color w:val="auto"/>
                <w:sz w:val="21"/>
                <w:szCs w:val="21"/>
                <w:highlight w:val="none"/>
              </w:rPr>
              <w:t>的</w:t>
            </w:r>
            <w:r>
              <w:rPr>
                <w:color w:val="auto"/>
                <w:sz w:val="21"/>
                <w:szCs w:val="21"/>
                <w:highlight w:val="none"/>
              </w:rPr>
              <w:t>，视为对</w:t>
            </w:r>
            <w:r>
              <w:rPr>
                <w:rFonts w:hint="eastAsia"/>
                <w:color w:val="auto"/>
                <w:sz w:val="21"/>
                <w:szCs w:val="21"/>
                <w:highlight w:val="none"/>
              </w:rPr>
              <w:t>比选</w:t>
            </w:r>
            <w:r>
              <w:rPr>
                <w:color w:val="auto"/>
                <w:sz w:val="21"/>
                <w:szCs w:val="21"/>
                <w:highlight w:val="none"/>
              </w:rPr>
              <w:t>文件不作实质性响应，其</w:t>
            </w:r>
            <w:r>
              <w:rPr>
                <w:rFonts w:hint="eastAsia"/>
                <w:color w:val="auto"/>
                <w:sz w:val="21"/>
                <w:szCs w:val="21"/>
                <w:highlight w:val="none"/>
              </w:rPr>
              <w:t>比选申请</w:t>
            </w:r>
            <w:r>
              <w:rPr>
                <w:color w:val="auto"/>
                <w:sz w:val="21"/>
                <w:szCs w:val="21"/>
                <w:highlight w:val="none"/>
              </w:rPr>
              <w:t>比选申请文件</w:t>
            </w:r>
            <w:r>
              <w:rPr>
                <w:rFonts w:hint="eastAsia"/>
                <w:color w:val="auto"/>
                <w:sz w:val="21"/>
                <w:szCs w:val="21"/>
                <w:highlight w:val="none"/>
              </w:rPr>
              <w:t>由评标委员会</w:t>
            </w:r>
            <w:r>
              <w:rPr>
                <w:color w:val="auto"/>
                <w:sz w:val="21"/>
                <w:szCs w:val="21"/>
                <w:highlight w:val="none"/>
              </w:rPr>
              <w:t>作否决投标处理。</w:t>
            </w:r>
          </w:p>
          <w:p w14:paraId="51AABD4D">
            <w:pPr>
              <w:pStyle w:val="2"/>
              <w:tabs>
                <w:tab w:val="left" w:pos="546"/>
                <w:tab w:val="left" w:pos="711"/>
              </w:tabs>
              <w:snapToGrid w:val="0"/>
              <w:spacing w:after="0"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（6）本项目建筑安装材料价格风险按照《重庆市城乡建设委员会关于进一步加强建筑安装材料价格风险管控的指导意见》（渝建〔2018〕61号）执行。本项目主要材料及设备价格风险内容、范围及调整方法为：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详见合同专用条款</w:t>
            </w:r>
          </w:p>
          <w:p w14:paraId="41203706">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（7）本项目所采用技术、工艺和产品等必须执行重庆市住房和城乡建设委员会关于发布《重庆市建设领域禁止、限制使用落后技术通告（2019年版）（渝建发〔2019〕25号）的规定。</w:t>
            </w:r>
          </w:p>
          <w:p w14:paraId="01971F95">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（8）增值税计税方法由比选人依据国家税法规定选择：一般计税法。</w:t>
            </w:r>
          </w:p>
          <w:p w14:paraId="110CB4A9">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（9）本工程主体结构若需混凝土，则必须使用商品混凝土，不得自建搅拌站。</w:t>
            </w:r>
          </w:p>
          <w:p w14:paraId="3489AB43">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（10）自行考虑施工作业面交叉配合引起成本增加等相关费用，自行考虑材料转运及多次转运和各类机械设备无法到达的情况等引起的成本增加，由比选申请人自行测算，纳入本次比选申请报价。</w:t>
            </w:r>
          </w:p>
          <w:p w14:paraId="46757EB4">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必须响应比选人的工期要求，各种赶工措施费、夜间施工费等一切为满足工期要求的投入，由比选申请人自行测算，纳入本次比选申请报价。如不能按期完成，造成工期延误，比选人保留终止合同的权利。</w:t>
            </w:r>
          </w:p>
          <w:p w14:paraId="549E5DAE">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比选申请人为完成承包内容，按照国家和地方的现行有关建筑工程规范、规程要求，为保证工程施工、质量、安全、文明、工期、验收等各种因素必须采取的特殊措施以及配套完成的工作内容所需的费用，纳入本次比选申请报价。</w:t>
            </w:r>
          </w:p>
          <w:p w14:paraId="2AE90D35">
            <w:pPr>
              <w:pStyle w:val="2"/>
              <w:tabs>
                <w:tab w:val="left" w:pos="546"/>
                <w:tab w:val="left" w:pos="711"/>
              </w:tabs>
              <w:snapToGrid w:val="0"/>
              <w:spacing w:after="0"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各比选申请人自行考虑施工期间的临时排污费、噪声费、市容费、环卫、防尘、运距、周边环境、夜间施工费等其他一切相关市政收费及其他费用。本工程土石方外运或借土回填（如果有）必须执行重庆市政府 2004 年 164 号文《关于对主城区易撒漏物质实行密闭运输的通知》、重庆市建委渝建发[2009]13号文关于施工扬尘控制的相关规定和《九龙坡区建筑垃圾运输车辆管理工作方案》的规定执行，清运等费用由比选申请人自行测算计入措施项目费，纳入本次比选申请报价。</w:t>
            </w:r>
          </w:p>
          <w:p w14:paraId="22454A4F">
            <w:pPr>
              <w:pStyle w:val="2"/>
              <w:tabs>
                <w:tab w:val="left" w:pos="546"/>
                <w:tab w:val="left" w:pos="711"/>
              </w:tabs>
              <w:snapToGrid w:val="0"/>
              <w:spacing w:after="0" w:line="4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）安全文明施工费、税金不参与竞价。</w:t>
            </w:r>
          </w:p>
          <w:p w14:paraId="6260C29A">
            <w:pPr>
              <w:tabs>
                <w:tab w:val="left" w:pos="546"/>
                <w:tab w:val="left" w:pos="711"/>
              </w:tabs>
              <w:snapToGrid w:val="0"/>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4.最高限价</w:t>
            </w:r>
          </w:p>
          <w:p w14:paraId="7A79A47A">
            <w:pPr>
              <w:pStyle w:val="2"/>
              <w:tabs>
                <w:tab w:val="left" w:pos="546"/>
                <w:tab w:val="left" w:pos="711"/>
              </w:tabs>
              <w:snapToGrid w:val="0"/>
              <w:spacing w:after="0" w:line="460" w:lineRule="exact"/>
              <w:ind w:firstLine="420" w:firstLineChars="200"/>
              <w:rPr>
                <w:rFonts w:ascii="宋体" w:hAnsi="宋体"/>
                <w:color w:val="auto"/>
                <w:szCs w:val="21"/>
                <w:highlight w:val="none"/>
              </w:rPr>
            </w:pPr>
            <w:r>
              <w:rPr>
                <w:rFonts w:hint="eastAsia" w:ascii="宋体" w:hAnsi="宋体"/>
                <w:color w:val="auto"/>
                <w:szCs w:val="21"/>
                <w:highlight w:val="none"/>
              </w:rPr>
              <w:t>暂定建筑安装工程费</w:t>
            </w:r>
            <w:r>
              <w:rPr>
                <w:rFonts w:hint="eastAsia" w:ascii="宋体" w:hAnsi="宋体"/>
                <w:color w:val="auto"/>
                <w:szCs w:val="21"/>
                <w:highlight w:val="none"/>
                <w:u w:val="single"/>
                <w:lang w:val="en-US" w:eastAsia="zh-CN"/>
              </w:rPr>
              <w:t xml:space="preserve"> 380 </w:t>
            </w:r>
            <w:r>
              <w:rPr>
                <w:rFonts w:hint="eastAsia" w:ascii="宋体" w:hAnsi="宋体"/>
                <w:color w:val="auto"/>
                <w:szCs w:val="21"/>
                <w:highlight w:val="none"/>
              </w:rPr>
              <w:t>万元，固定费率最高限价为</w:t>
            </w:r>
            <w:r>
              <w:rPr>
                <w:rFonts w:hint="eastAsia" w:ascii="宋体" w:hAnsi="宋体"/>
                <w:color w:val="auto"/>
                <w:szCs w:val="21"/>
                <w:highlight w:val="none"/>
                <w:u w:val="single"/>
              </w:rPr>
              <w:t>95%（含95%）</w:t>
            </w:r>
            <w:r>
              <w:rPr>
                <w:rFonts w:hint="eastAsia" w:ascii="宋体" w:hAnsi="宋体"/>
                <w:color w:val="auto"/>
                <w:szCs w:val="21"/>
                <w:highlight w:val="none"/>
              </w:rPr>
              <w:t>，暂定建筑安装工程费比选申请报价最高限价为</w:t>
            </w:r>
            <w:r>
              <w:rPr>
                <w:rFonts w:hint="eastAsia" w:ascii="宋体" w:hAnsi="宋体"/>
                <w:color w:val="auto"/>
                <w:kern w:val="0"/>
                <w:highlight w:val="none"/>
                <w:u w:val="single"/>
                <w:lang w:val="en-US" w:eastAsia="zh-CN"/>
              </w:rPr>
              <w:t>361</w:t>
            </w:r>
            <w:r>
              <w:rPr>
                <w:rFonts w:hint="eastAsia" w:ascii="宋体" w:hAnsi="宋体"/>
                <w:color w:val="auto"/>
                <w:kern w:val="0"/>
                <w:highlight w:val="none"/>
              </w:rPr>
              <w:t>万元</w:t>
            </w:r>
            <w:r>
              <w:rPr>
                <w:rFonts w:hint="eastAsia" w:ascii="宋体" w:hAnsi="宋体"/>
                <w:color w:val="auto"/>
                <w:szCs w:val="21"/>
                <w:highlight w:val="none"/>
              </w:rPr>
              <w:t>；</w:t>
            </w:r>
          </w:p>
          <w:p w14:paraId="7832756C">
            <w:pPr>
              <w:snapToGrid w:val="0"/>
              <w:spacing w:line="460" w:lineRule="exact"/>
              <w:ind w:firstLine="420" w:firstLineChars="200"/>
              <w:rPr>
                <w:rFonts w:ascii="宋体" w:hAnsi="宋体"/>
                <w:color w:val="auto"/>
                <w:kern w:val="0"/>
                <w:highlight w:val="none"/>
              </w:rPr>
            </w:pPr>
            <w:r>
              <w:rPr>
                <w:rFonts w:ascii="宋体" w:hAnsi="宋体"/>
                <w:color w:val="auto"/>
                <w:szCs w:val="21"/>
                <w:highlight w:val="none"/>
              </w:rPr>
              <w:t>计算公式为：暂定建筑安装工程费比选申请报价=</w:t>
            </w:r>
            <w:r>
              <w:rPr>
                <w:rFonts w:hint="eastAsia" w:ascii="宋体" w:hAnsi="宋体"/>
                <w:color w:val="auto"/>
                <w:szCs w:val="21"/>
                <w:highlight w:val="none"/>
                <w:u w:val="single"/>
                <w:lang w:val="en-US" w:eastAsia="zh-CN"/>
              </w:rPr>
              <w:t xml:space="preserve"> 380 </w:t>
            </w:r>
            <w:r>
              <w:rPr>
                <w:rFonts w:ascii="宋体" w:hAnsi="宋体"/>
                <w:color w:val="auto"/>
                <w:szCs w:val="21"/>
                <w:highlight w:val="none"/>
              </w:rPr>
              <w:t>万元×投标固定费率。比选申请人填报的固定费率不得高于</w:t>
            </w:r>
            <w:r>
              <w:rPr>
                <w:rFonts w:hint="eastAsia" w:ascii="宋体" w:hAnsi="宋体"/>
                <w:color w:val="auto"/>
                <w:szCs w:val="21"/>
                <w:highlight w:val="none"/>
              </w:rPr>
              <w:t>95</w:t>
            </w:r>
            <w:r>
              <w:rPr>
                <w:rFonts w:ascii="宋体" w:hAnsi="宋体"/>
                <w:color w:val="auto"/>
                <w:szCs w:val="21"/>
                <w:highlight w:val="none"/>
              </w:rPr>
              <w:t>%，即比选申请人填报的固定费率在0%-</w:t>
            </w:r>
            <w:r>
              <w:rPr>
                <w:rFonts w:hint="eastAsia" w:ascii="宋体" w:hAnsi="宋体"/>
                <w:color w:val="auto"/>
                <w:szCs w:val="21"/>
                <w:highlight w:val="none"/>
              </w:rPr>
              <w:t>95</w:t>
            </w:r>
            <w:r>
              <w:rPr>
                <w:rFonts w:ascii="宋体" w:hAnsi="宋体"/>
                <w:color w:val="auto"/>
                <w:szCs w:val="21"/>
                <w:highlight w:val="none"/>
              </w:rPr>
              <w:t>%之间（含</w:t>
            </w:r>
            <w:r>
              <w:rPr>
                <w:rFonts w:hint="eastAsia" w:ascii="宋体" w:hAnsi="宋体"/>
                <w:color w:val="auto"/>
                <w:szCs w:val="21"/>
                <w:highlight w:val="none"/>
              </w:rPr>
              <w:t>95</w:t>
            </w:r>
            <w:r>
              <w:rPr>
                <w:rFonts w:ascii="宋体" w:hAnsi="宋体"/>
                <w:color w:val="auto"/>
                <w:szCs w:val="21"/>
                <w:highlight w:val="none"/>
              </w:rPr>
              <w:t>%），否则视为对比选文件不作实质性响应，其比选申请文件作否决投标处理。填报费率保留小数点后两位。</w:t>
            </w:r>
          </w:p>
          <w:p w14:paraId="3C937B70">
            <w:pPr>
              <w:pStyle w:val="2"/>
              <w:tabs>
                <w:tab w:val="left" w:pos="546"/>
                <w:tab w:val="left" w:pos="711"/>
              </w:tabs>
              <w:snapToGrid w:val="0"/>
              <w:spacing w:after="0" w:line="460" w:lineRule="exact"/>
              <w:ind w:firstLine="420" w:firstLineChars="200"/>
              <w:rPr>
                <w:rFonts w:ascii="宋体" w:hAnsi="宋体" w:cs="宋体"/>
                <w:color w:val="auto"/>
                <w:szCs w:val="21"/>
                <w:highlight w:val="none"/>
              </w:rPr>
            </w:pPr>
            <w:r>
              <w:rPr>
                <w:rFonts w:hint="eastAsia" w:ascii="宋体" w:hAnsi="宋体"/>
                <w:color w:val="auto"/>
                <w:kern w:val="0"/>
                <w:highlight w:val="none"/>
              </w:rPr>
              <w:t>比选申请人不得超过其最高限价，否则由评标委员会作否决投标处理</w:t>
            </w:r>
            <w:r>
              <w:rPr>
                <w:rFonts w:hint="eastAsia" w:ascii="宋体" w:hAnsi="宋体" w:cs="宋体"/>
                <w:color w:val="auto"/>
                <w:szCs w:val="21"/>
                <w:highlight w:val="none"/>
              </w:rPr>
              <w:t>。</w:t>
            </w:r>
          </w:p>
          <w:p w14:paraId="351AA0CC">
            <w:pPr>
              <w:pStyle w:val="2"/>
              <w:tabs>
                <w:tab w:val="left" w:pos="546"/>
                <w:tab w:val="left" w:pos="711"/>
              </w:tabs>
              <w:snapToGrid w:val="0"/>
              <w:spacing w:after="0" w:line="460" w:lineRule="exact"/>
              <w:ind w:firstLine="420" w:firstLineChars="200"/>
              <w:rPr>
                <w:color w:val="auto"/>
                <w:highlight w:val="none"/>
              </w:rPr>
            </w:pPr>
            <w:r>
              <w:rPr>
                <w:rFonts w:hint="eastAsia"/>
                <w:color w:val="auto"/>
                <w:highlight w:val="none"/>
              </w:rPr>
              <w:t>5</w:t>
            </w:r>
            <w:r>
              <w:rPr>
                <w:color w:val="auto"/>
                <w:highlight w:val="none"/>
              </w:rPr>
              <w:t>.</w:t>
            </w:r>
            <w:r>
              <w:rPr>
                <w:rFonts w:hint="eastAsia"/>
                <w:color w:val="auto"/>
                <w:highlight w:val="none"/>
              </w:rPr>
              <w:t>限额结算</w:t>
            </w:r>
          </w:p>
          <w:p w14:paraId="003CC9CE">
            <w:pPr>
              <w:snapToGrid w:val="0"/>
              <w:spacing w:line="460" w:lineRule="exact"/>
              <w:ind w:firstLine="420" w:firstLineChars="200"/>
              <w:rPr>
                <w:rFonts w:ascii="宋体" w:hAnsi="宋体"/>
                <w:bCs/>
                <w:color w:val="auto"/>
                <w:szCs w:val="21"/>
                <w:highlight w:val="none"/>
              </w:rPr>
            </w:pPr>
            <w:r>
              <w:rPr>
                <w:rFonts w:hint="eastAsia" w:ascii="宋体" w:hAnsi="宋体" w:cs="宋体"/>
                <w:color w:val="auto"/>
                <w:kern w:val="0"/>
                <w:szCs w:val="21"/>
                <w:highlight w:val="none"/>
                <w:lang w:bidi="ar"/>
              </w:rPr>
              <w:t>注：竣工结算以本比选文件约定的结算原则计取，最终以九龙区财政局或九龙坡区审计局或发包人上级行政主管部门审核的竣工结算金额为准。</w:t>
            </w:r>
          </w:p>
        </w:tc>
      </w:tr>
      <w:tr w14:paraId="355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69" w:type="dxa"/>
            <w:tcBorders>
              <w:top w:val="single" w:color="auto" w:sz="4" w:space="0"/>
              <w:left w:val="single" w:color="auto" w:sz="4" w:space="0"/>
              <w:bottom w:val="single" w:color="auto" w:sz="4" w:space="0"/>
              <w:right w:val="single" w:color="auto" w:sz="4" w:space="0"/>
            </w:tcBorders>
            <w:vAlign w:val="center"/>
          </w:tcPr>
          <w:p w14:paraId="1511EF90">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3.3.1</w:t>
            </w:r>
          </w:p>
        </w:tc>
        <w:tc>
          <w:tcPr>
            <w:tcW w:w="1478" w:type="dxa"/>
            <w:tcBorders>
              <w:top w:val="single" w:color="auto" w:sz="4" w:space="0"/>
              <w:left w:val="single" w:color="auto" w:sz="4" w:space="0"/>
              <w:bottom w:val="single" w:color="auto" w:sz="4" w:space="0"/>
              <w:right w:val="single" w:color="auto" w:sz="4" w:space="0"/>
            </w:tcBorders>
            <w:vAlign w:val="center"/>
          </w:tcPr>
          <w:p w14:paraId="5DF1EDCB">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比选申请有效期</w:t>
            </w:r>
          </w:p>
        </w:tc>
        <w:tc>
          <w:tcPr>
            <w:tcW w:w="7442" w:type="dxa"/>
            <w:tcBorders>
              <w:top w:val="single" w:color="auto" w:sz="4" w:space="0"/>
              <w:left w:val="single" w:color="auto" w:sz="4" w:space="0"/>
              <w:bottom w:val="single" w:color="auto" w:sz="4" w:space="0"/>
              <w:right w:val="single" w:color="auto" w:sz="4" w:space="0"/>
            </w:tcBorders>
            <w:vAlign w:val="center"/>
          </w:tcPr>
          <w:p w14:paraId="33DA0943">
            <w:pPr>
              <w:snapToGrid w:val="0"/>
              <w:spacing w:line="460" w:lineRule="exact"/>
              <w:rPr>
                <w:rFonts w:ascii="宋体" w:hAnsi="宋体"/>
                <w:color w:val="auto"/>
                <w:szCs w:val="21"/>
                <w:highlight w:val="none"/>
              </w:rPr>
            </w:pPr>
            <w:r>
              <w:rPr>
                <w:rFonts w:hint="eastAsia" w:ascii="宋体" w:hAnsi="宋体"/>
                <w:color w:val="auto"/>
                <w:szCs w:val="21"/>
                <w:highlight w:val="none"/>
                <w:u w:val="single"/>
              </w:rPr>
              <w:t xml:space="preserve"> 90</w:t>
            </w:r>
            <w:r>
              <w:rPr>
                <w:rFonts w:hint="eastAsia" w:ascii="宋体" w:hAnsi="宋体"/>
                <w:color w:val="auto"/>
                <w:szCs w:val="21"/>
                <w:highlight w:val="none"/>
              </w:rPr>
              <w:t>日历天（从提交比选申请文件截止日起计算）</w:t>
            </w:r>
          </w:p>
        </w:tc>
      </w:tr>
      <w:tr w14:paraId="232B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3F3D1216">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1478" w:type="dxa"/>
            <w:tcBorders>
              <w:top w:val="single" w:color="auto" w:sz="4" w:space="0"/>
              <w:left w:val="single" w:color="auto" w:sz="4" w:space="0"/>
              <w:bottom w:val="single" w:color="auto" w:sz="4" w:space="0"/>
              <w:right w:val="single" w:color="auto" w:sz="4" w:space="0"/>
            </w:tcBorders>
            <w:vAlign w:val="center"/>
          </w:tcPr>
          <w:p w14:paraId="3301AB66">
            <w:pPr>
              <w:snapToGrid w:val="0"/>
              <w:spacing w:line="460" w:lineRule="exact"/>
              <w:rPr>
                <w:rFonts w:ascii="宋体" w:hAnsi="宋体" w:cs="MingLiU"/>
                <w:color w:val="auto"/>
                <w:kern w:val="0"/>
                <w:szCs w:val="21"/>
                <w:highlight w:val="none"/>
              </w:rPr>
            </w:pPr>
            <w:r>
              <w:rPr>
                <w:rFonts w:hint="eastAsia" w:ascii="宋体" w:hAnsi="宋体" w:cs="MingLiU"/>
                <w:color w:val="auto"/>
                <w:kern w:val="0"/>
                <w:szCs w:val="21"/>
                <w:highlight w:val="none"/>
              </w:rPr>
              <w:t>比选申请保证金</w:t>
            </w:r>
          </w:p>
        </w:tc>
        <w:tc>
          <w:tcPr>
            <w:tcW w:w="7442" w:type="dxa"/>
            <w:tcBorders>
              <w:top w:val="single" w:color="auto" w:sz="4" w:space="0"/>
              <w:left w:val="single" w:color="auto" w:sz="4" w:space="0"/>
              <w:bottom w:val="single" w:color="auto" w:sz="4" w:space="0"/>
              <w:right w:val="single" w:color="auto" w:sz="4" w:space="0"/>
            </w:tcBorders>
            <w:vAlign w:val="center"/>
          </w:tcPr>
          <w:p w14:paraId="5380070B">
            <w:pPr>
              <w:spacing w:line="460" w:lineRule="exact"/>
              <w:ind w:firstLine="435"/>
              <w:rPr>
                <w:color w:val="auto"/>
                <w:highlight w:val="none"/>
              </w:rPr>
            </w:pPr>
            <w:r>
              <w:rPr>
                <w:rFonts w:hint="eastAsia"/>
                <w:color w:val="auto"/>
                <w:highlight w:val="none"/>
              </w:rPr>
              <w:t>比选申请保证金的交纳方式：</w:t>
            </w:r>
          </w:p>
          <w:p w14:paraId="73CE442D">
            <w:pPr>
              <w:spacing w:line="460" w:lineRule="exact"/>
              <w:ind w:firstLine="435"/>
              <w:rPr>
                <w:color w:val="auto"/>
                <w:highlight w:val="none"/>
              </w:rPr>
            </w:pPr>
            <w:r>
              <w:rPr>
                <w:rFonts w:hint="eastAsia"/>
                <w:color w:val="auto"/>
                <w:highlight w:val="none"/>
              </w:rPr>
              <w:t>1.比选申请保证金的金额：</w:t>
            </w:r>
            <w:r>
              <w:rPr>
                <w:rFonts w:hint="eastAsia"/>
                <w:color w:val="auto"/>
                <w:highlight w:val="none"/>
                <w:u w:val="single"/>
              </w:rPr>
              <w:t xml:space="preserve"> 5000</w:t>
            </w:r>
            <w:r>
              <w:rPr>
                <w:rFonts w:hint="eastAsia"/>
                <w:color w:val="auto"/>
                <w:highlight w:val="none"/>
              </w:rPr>
              <w:t>元整（人民币）；</w:t>
            </w:r>
          </w:p>
          <w:p w14:paraId="4976B2D3">
            <w:pPr>
              <w:spacing w:line="460" w:lineRule="exact"/>
              <w:ind w:firstLine="420" w:firstLineChars="200"/>
              <w:rPr>
                <w:color w:val="auto"/>
                <w:highlight w:val="none"/>
              </w:rPr>
            </w:pPr>
            <w:r>
              <w:rPr>
                <w:rFonts w:hint="eastAsia"/>
                <w:color w:val="auto"/>
                <w:highlight w:val="none"/>
              </w:rPr>
              <w:t>2.比选申请保证金提交时间和方式：现金收取；</w:t>
            </w:r>
          </w:p>
          <w:p w14:paraId="7FE92A1F">
            <w:pPr>
              <w:spacing w:line="460" w:lineRule="exact"/>
              <w:ind w:firstLine="420" w:firstLineChars="200"/>
              <w:rPr>
                <w:color w:val="auto"/>
                <w:highlight w:val="none"/>
              </w:rPr>
            </w:pPr>
            <w:r>
              <w:rPr>
                <w:rFonts w:hint="eastAsia"/>
                <w:color w:val="auto"/>
                <w:highlight w:val="none"/>
              </w:rPr>
              <w:t>递交比选申请文件时现场递交比选申请保证金，比选申请人用信封装好密封，信封写明比选申请人名称、项目名称并加盖比选申请人单位法人章；</w:t>
            </w:r>
          </w:p>
          <w:p w14:paraId="21A0747C">
            <w:pPr>
              <w:spacing w:line="460" w:lineRule="exact"/>
              <w:ind w:firstLine="420" w:firstLineChars="200"/>
              <w:rPr>
                <w:color w:val="auto"/>
                <w:highlight w:val="none"/>
              </w:rPr>
            </w:pPr>
            <w:r>
              <w:rPr>
                <w:rFonts w:hint="eastAsia"/>
                <w:color w:val="auto"/>
                <w:highlight w:val="none"/>
              </w:rPr>
              <w:t>3.比选申请保证金有效期与比选申请有效期一致。</w:t>
            </w:r>
          </w:p>
          <w:p w14:paraId="44786A30">
            <w:pPr>
              <w:spacing w:line="460" w:lineRule="exact"/>
              <w:ind w:firstLine="420" w:firstLineChars="200"/>
              <w:rPr>
                <w:color w:val="auto"/>
                <w:highlight w:val="none"/>
              </w:rPr>
            </w:pPr>
            <w:r>
              <w:rPr>
                <w:rFonts w:hint="eastAsia"/>
                <w:color w:val="auto"/>
                <w:highlight w:val="none"/>
              </w:rPr>
              <w:t>4.比选申请保证金的退还：</w:t>
            </w:r>
          </w:p>
          <w:p w14:paraId="29413E02">
            <w:pPr>
              <w:spacing w:line="460" w:lineRule="exact"/>
              <w:ind w:firstLine="420" w:firstLineChars="200"/>
              <w:rPr>
                <w:color w:val="auto"/>
                <w:highlight w:val="none"/>
              </w:rPr>
            </w:pPr>
            <w:r>
              <w:rPr>
                <w:rFonts w:hint="eastAsia"/>
                <w:color w:val="auto"/>
                <w:highlight w:val="none"/>
              </w:rPr>
              <w:t>第一中选候选人，在施工合同签订后5日后无息退还比选申请保证金，其他的比选申请人的比选申请保证金在中选结果公示期结束后无息退还。</w:t>
            </w:r>
          </w:p>
        </w:tc>
      </w:tr>
      <w:tr w14:paraId="782F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6956F173">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478" w:type="dxa"/>
            <w:tcBorders>
              <w:top w:val="single" w:color="auto" w:sz="4" w:space="0"/>
              <w:left w:val="single" w:color="auto" w:sz="4" w:space="0"/>
              <w:bottom w:val="single" w:color="auto" w:sz="4" w:space="0"/>
              <w:right w:val="single" w:color="auto" w:sz="4" w:space="0"/>
            </w:tcBorders>
            <w:vAlign w:val="center"/>
          </w:tcPr>
          <w:p w14:paraId="425AEA46">
            <w:pPr>
              <w:snapToGrid w:val="0"/>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是否允许递交备选</w:t>
            </w:r>
            <w:r>
              <w:rPr>
                <w:rFonts w:hint="eastAsia" w:ascii="宋体" w:hAnsi="宋体"/>
                <w:color w:val="auto"/>
                <w:szCs w:val="21"/>
                <w:highlight w:val="none"/>
              </w:rPr>
              <w:t>比选申请</w:t>
            </w:r>
            <w:r>
              <w:rPr>
                <w:rFonts w:hint="eastAsia" w:ascii="宋体" w:hAnsi="宋体" w:cs="宋体"/>
                <w:color w:val="auto"/>
                <w:kern w:val="0"/>
                <w:szCs w:val="21"/>
                <w:highlight w:val="none"/>
              </w:rPr>
              <w:t>方案</w:t>
            </w:r>
          </w:p>
        </w:tc>
        <w:tc>
          <w:tcPr>
            <w:tcW w:w="7442" w:type="dxa"/>
            <w:tcBorders>
              <w:top w:val="single" w:color="auto" w:sz="4" w:space="0"/>
              <w:left w:val="single" w:color="auto" w:sz="4" w:space="0"/>
              <w:bottom w:val="single" w:color="auto" w:sz="4" w:space="0"/>
              <w:right w:val="single" w:color="auto" w:sz="4" w:space="0"/>
            </w:tcBorders>
            <w:vAlign w:val="center"/>
          </w:tcPr>
          <w:p w14:paraId="1321191A">
            <w:pPr>
              <w:spacing w:line="460" w:lineRule="exact"/>
              <w:ind w:firstLine="210" w:firstLineChars="100"/>
              <w:rPr>
                <w:color w:val="auto"/>
                <w:highlight w:val="none"/>
              </w:rPr>
            </w:pPr>
            <w:r>
              <w:rPr>
                <w:rFonts w:hint="eastAsia" w:ascii="宋体" w:hAnsi="宋体" w:cs="宋体"/>
                <w:color w:val="auto"/>
                <w:kern w:val="0"/>
                <w:szCs w:val="21"/>
                <w:highlight w:val="none"/>
              </w:rPr>
              <w:t>不允许</w:t>
            </w:r>
          </w:p>
        </w:tc>
      </w:tr>
      <w:tr w14:paraId="1936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3BE18016">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1478" w:type="dxa"/>
            <w:tcBorders>
              <w:top w:val="single" w:color="auto" w:sz="4" w:space="0"/>
              <w:left w:val="single" w:color="auto" w:sz="4" w:space="0"/>
              <w:bottom w:val="single" w:color="auto" w:sz="4" w:space="0"/>
              <w:right w:val="single" w:color="auto" w:sz="4" w:space="0"/>
            </w:tcBorders>
            <w:vAlign w:val="center"/>
          </w:tcPr>
          <w:p w14:paraId="525BD56A">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比选申请文件的份数</w:t>
            </w:r>
          </w:p>
        </w:tc>
        <w:tc>
          <w:tcPr>
            <w:tcW w:w="7442" w:type="dxa"/>
            <w:tcBorders>
              <w:top w:val="single" w:color="auto" w:sz="4" w:space="0"/>
              <w:left w:val="single" w:color="auto" w:sz="4" w:space="0"/>
              <w:bottom w:val="single" w:color="auto" w:sz="4" w:space="0"/>
              <w:right w:val="single" w:color="auto" w:sz="4" w:space="0"/>
            </w:tcBorders>
            <w:vAlign w:val="center"/>
          </w:tcPr>
          <w:p w14:paraId="6544547C">
            <w:pPr>
              <w:spacing w:line="460" w:lineRule="exact"/>
              <w:ind w:firstLine="315" w:firstLineChars="150"/>
              <w:rPr>
                <w:rFonts w:ascii="宋体" w:hAnsi="宋体"/>
                <w:color w:val="auto"/>
                <w:szCs w:val="21"/>
                <w:highlight w:val="none"/>
              </w:rPr>
            </w:pPr>
            <w:r>
              <w:rPr>
                <w:rFonts w:hint="eastAsia" w:ascii="宋体" w:hAnsi="宋体"/>
                <w:color w:val="auto"/>
                <w:szCs w:val="21"/>
                <w:highlight w:val="none"/>
              </w:rPr>
              <w:t>比选申请文件正本一份，副本一份，其中技术部分不分正、副本。</w:t>
            </w:r>
          </w:p>
        </w:tc>
      </w:tr>
      <w:tr w14:paraId="0EC8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1A35E98A">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1478" w:type="dxa"/>
            <w:tcBorders>
              <w:top w:val="single" w:color="auto" w:sz="4" w:space="0"/>
              <w:left w:val="single" w:color="auto" w:sz="4" w:space="0"/>
              <w:bottom w:val="single" w:color="auto" w:sz="4" w:space="0"/>
              <w:right w:val="single" w:color="auto" w:sz="4" w:space="0"/>
            </w:tcBorders>
            <w:vAlign w:val="center"/>
          </w:tcPr>
          <w:p w14:paraId="3AE977D0">
            <w:pPr>
              <w:adjustRightInd w:val="0"/>
              <w:snapToGrid w:val="0"/>
              <w:spacing w:line="460" w:lineRule="exact"/>
              <w:rPr>
                <w:rFonts w:ascii="宋体" w:hAnsi="宋体" w:cs="宋体"/>
                <w:color w:val="auto"/>
                <w:kern w:val="0"/>
                <w:szCs w:val="21"/>
                <w:highlight w:val="none"/>
              </w:rPr>
            </w:pPr>
            <w:r>
              <w:rPr>
                <w:rFonts w:hint="eastAsia" w:ascii="宋体" w:hAnsi="宋体"/>
                <w:color w:val="auto"/>
                <w:szCs w:val="21"/>
                <w:highlight w:val="none"/>
              </w:rPr>
              <w:t>装订要求</w:t>
            </w:r>
          </w:p>
        </w:tc>
        <w:tc>
          <w:tcPr>
            <w:tcW w:w="7442" w:type="dxa"/>
            <w:tcBorders>
              <w:top w:val="single" w:color="auto" w:sz="4" w:space="0"/>
              <w:left w:val="single" w:color="auto" w:sz="4" w:space="0"/>
              <w:bottom w:val="single" w:color="auto" w:sz="4" w:space="0"/>
              <w:right w:val="single" w:color="auto" w:sz="4" w:space="0"/>
            </w:tcBorders>
            <w:vAlign w:val="center"/>
          </w:tcPr>
          <w:p w14:paraId="4F07E8D6">
            <w:pPr>
              <w:spacing w:line="460" w:lineRule="exact"/>
              <w:ind w:firstLine="435"/>
              <w:rPr>
                <w:rFonts w:ascii="宋体" w:hAnsi="宋体"/>
                <w:color w:val="auto"/>
                <w:szCs w:val="21"/>
                <w:highlight w:val="none"/>
              </w:rPr>
            </w:pPr>
            <w:r>
              <w:rPr>
                <w:rFonts w:hint="eastAsia" w:ascii="宋体" w:hAnsi="宋体"/>
                <w:color w:val="auto"/>
                <w:szCs w:val="21"/>
                <w:highlight w:val="none"/>
              </w:rPr>
              <w:t>1、本工程技术部分《</w:t>
            </w:r>
            <w:r>
              <w:rPr>
                <w:rFonts w:hint="eastAsia" w:ascii="宋体" w:hAnsi="宋体"/>
                <w:color w:val="auto"/>
                <w:szCs w:val="21"/>
                <w:highlight w:val="none"/>
                <w:lang w:eastAsia="zh-CN"/>
              </w:rPr>
              <w:t>技术方案</w:t>
            </w:r>
            <w:r>
              <w:rPr>
                <w:rFonts w:hint="eastAsia" w:ascii="宋体" w:hAnsi="宋体"/>
                <w:color w:val="auto"/>
                <w:szCs w:val="21"/>
                <w:highlight w:val="none"/>
              </w:rPr>
              <w:t>》采用暗标评审，应将比选申请函部分、技术部分、资格审查资料各自分别装订成册。</w:t>
            </w:r>
          </w:p>
          <w:p w14:paraId="3205BC4A">
            <w:pPr>
              <w:spacing w:line="460" w:lineRule="exact"/>
              <w:ind w:firstLine="435"/>
              <w:rPr>
                <w:rFonts w:ascii="宋体" w:hAnsi="宋体"/>
                <w:color w:val="auto"/>
                <w:szCs w:val="21"/>
                <w:highlight w:val="none"/>
              </w:rPr>
            </w:pPr>
            <w:r>
              <w:rPr>
                <w:rFonts w:hint="eastAsia" w:ascii="宋体" w:hAnsi="宋体"/>
                <w:color w:val="auto"/>
                <w:szCs w:val="21"/>
                <w:highlight w:val="none"/>
              </w:rPr>
              <w:t>2、装订</w:t>
            </w:r>
          </w:p>
          <w:p w14:paraId="4D42DB81">
            <w:pPr>
              <w:spacing w:line="460" w:lineRule="exact"/>
              <w:ind w:firstLine="435"/>
              <w:rPr>
                <w:rFonts w:ascii="宋体" w:hAnsi="宋体"/>
                <w:color w:val="auto"/>
                <w:szCs w:val="21"/>
                <w:highlight w:val="none"/>
              </w:rPr>
            </w:pPr>
            <w:r>
              <w:rPr>
                <w:rFonts w:hint="eastAsia" w:ascii="宋体" w:hAnsi="宋体"/>
                <w:color w:val="auto"/>
                <w:szCs w:val="21"/>
                <w:highlight w:val="none"/>
              </w:rPr>
              <w:t>（1）比选申请函部分的装订要求</w:t>
            </w:r>
          </w:p>
          <w:p w14:paraId="62D0AEC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应按照第八章规定格式装订成册，并应编制目录。</w:t>
            </w:r>
          </w:p>
          <w:p w14:paraId="2AFCA2AD">
            <w:pPr>
              <w:spacing w:line="460" w:lineRule="exact"/>
              <w:ind w:firstLine="435"/>
              <w:rPr>
                <w:rFonts w:ascii="宋体" w:hAnsi="宋体"/>
                <w:color w:val="auto"/>
                <w:szCs w:val="21"/>
                <w:highlight w:val="none"/>
              </w:rPr>
            </w:pPr>
            <w:r>
              <w:rPr>
                <w:rFonts w:hint="eastAsia" w:ascii="宋体" w:hAnsi="宋体"/>
                <w:color w:val="auto"/>
                <w:szCs w:val="21"/>
                <w:highlight w:val="none"/>
              </w:rPr>
              <w:t>（2）技术部分的装订要求</w:t>
            </w:r>
          </w:p>
          <w:p w14:paraId="00A7B565">
            <w:pPr>
              <w:autoSpaceDE w:val="0"/>
              <w:autoSpaceDN w:val="0"/>
              <w:adjustRightInd w:val="0"/>
              <w:snapToGrid w:val="0"/>
              <w:spacing w:line="46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技术方案</w:t>
            </w:r>
            <w:r>
              <w:rPr>
                <w:rFonts w:ascii="宋体" w:hAnsi="宋体"/>
                <w:color w:val="auto"/>
                <w:szCs w:val="21"/>
                <w:highlight w:val="none"/>
              </w:rPr>
              <w:t>》面页使用A4厚型白纸面页</w:t>
            </w:r>
            <w:r>
              <w:rPr>
                <w:rFonts w:hint="eastAsia" w:ascii="宋体" w:hAnsi="宋体"/>
                <w:color w:val="auto"/>
                <w:szCs w:val="21"/>
                <w:highlight w:val="none"/>
              </w:rPr>
              <w:t>。</w:t>
            </w:r>
            <w:r>
              <w:rPr>
                <w:rFonts w:ascii="宋体" w:hAnsi="宋体"/>
                <w:color w:val="auto"/>
                <w:szCs w:val="21"/>
                <w:highlight w:val="none"/>
              </w:rPr>
              <w:t>在页面右下角加盖</w:t>
            </w:r>
            <w:r>
              <w:rPr>
                <w:rFonts w:hint="eastAsia" w:ascii="宋体" w:hAnsi="宋体"/>
                <w:color w:val="auto"/>
                <w:szCs w:val="21"/>
                <w:highlight w:val="none"/>
              </w:rPr>
              <w:t>比选申请人</w:t>
            </w:r>
            <w:r>
              <w:rPr>
                <w:rFonts w:ascii="宋体" w:hAnsi="宋体"/>
                <w:color w:val="auto"/>
                <w:szCs w:val="21"/>
                <w:highlight w:val="none"/>
              </w:rPr>
              <w:t>单位章后</w:t>
            </w:r>
            <w:r>
              <w:rPr>
                <w:rFonts w:hint="eastAsia" w:asciiTheme="minorEastAsia" w:hAnsiTheme="minorEastAsia" w:eastAsiaTheme="minorEastAsia"/>
                <w:color w:val="auto"/>
                <w:highlight w:val="none"/>
              </w:rPr>
              <w:t>折叠成腰为 10cm 左右的等腰直角三角形密封</w:t>
            </w:r>
            <w:r>
              <w:rPr>
                <w:rFonts w:ascii="宋体" w:hAnsi="宋体"/>
                <w:color w:val="auto"/>
                <w:szCs w:val="21"/>
                <w:highlight w:val="none"/>
              </w:rPr>
              <w:t>（面页加盖</w:t>
            </w:r>
            <w:r>
              <w:rPr>
                <w:rFonts w:hint="eastAsia" w:ascii="宋体" w:hAnsi="宋体"/>
                <w:color w:val="auto"/>
                <w:szCs w:val="21"/>
                <w:highlight w:val="none"/>
              </w:rPr>
              <w:t>单位法人章</w:t>
            </w:r>
            <w:r>
              <w:rPr>
                <w:rFonts w:ascii="宋体" w:hAnsi="宋体"/>
                <w:color w:val="auto"/>
                <w:szCs w:val="21"/>
                <w:highlight w:val="none"/>
              </w:rPr>
              <w:t>后其面页的反面以不得显示出</w:t>
            </w:r>
            <w:r>
              <w:rPr>
                <w:rFonts w:hint="eastAsia" w:ascii="宋体" w:hAnsi="宋体"/>
                <w:color w:val="auto"/>
                <w:szCs w:val="21"/>
                <w:highlight w:val="none"/>
              </w:rPr>
              <w:t>单位法人章</w:t>
            </w:r>
            <w:r>
              <w:rPr>
                <w:rFonts w:ascii="宋体" w:hAnsi="宋体"/>
                <w:color w:val="auto"/>
                <w:szCs w:val="21"/>
                <w:highlight w:val="none"/>
              </w:rPr>
              <w:t>单位名称为准）；</w:t>
            </w:r>
            <w:r>
              <w:rPr>
                <w:rFonts w:hint="eastAsia" w:ascii="宋体" w:hAnsi="宋体"/>
                <w:color w:val="auto"/>
                <w:szCs w:val="21"/>
                <w:highlight w:val="none"/>
              </w:rPr>
              <w:t>技术方案左侧用白色棉线三孔眼装订，不得使用塑料夹条、薄膜外皮等饰物或特别标（注）记；密封后的面页及整个《技术方案》均不得出现白页、残页、白线、双面打印和倒页，不得显示与比选申请人</w:t>
            </w:r>
            <w:r>
              <w:rPr>
                <w:rFonts w:ascii="宋体" w:hAnsi="宋体"/>
                <w:color w:val="auto"/>
                <w:szCs w:val="21"/>
                <w:highlight w:val="none"/>
              </w:rPr>
              <w:t>企业有关的任何信息</w:t>
            </w:r>
            <w:r>
              <w:rPr>
                <w:rFonts w:hint="eastAsia" w:ascii="宋体" w:hAnsi="宋体"/>
                <w:color w:val="auto"/>
                <w:szCs w:val="21"/>
                <w:highlight w:val="none"/>
              </w:rPr>
              <w:t>及与本工程无关内容</w:t>
            </w:r>
            <w:r>
              <w:rPr>
                <w:rFonts w:ascii="宋体" w:hAnsi="宋体"/>
                <w:color w:val="auto"/>
                <w:szCs w:val="21"/>
                <w:highlight w:val="none"/>
              </w:rPr>
              <w:t>；</w:t>
            </w:r>
            <w:r>
              <w:rPr>
                <w:rFonts w:hint="eastAsia" w:ascii="宋体" w:hAnsi="宋体"/>
                <w:color w:val="auto"/>
                <w:szCs w:val="21"/>
                <w:highlight w:val="none"/>
              </w:rPr>
              <w:t>《技术方案》文字部分纸张采用A4白纸，四号仿宋字体；图表采用A4或A3白纸，图表内的字体、字号大小不限；文字、图表不得使用彩色和不得编制页码。</w:t>
            </w:r>
          </w:p>
          <w:p w14:paraId="175DBDBA">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违反上述任何一项，其比选申请文件《技术方案》部分为零分。若因未按发布的技术方案面页进行装订后果由比选申请人自行负责。</w:t>
            </w:r>
          </w:p>
          <w:p w14:paraId="4774A1BB">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（技术方案原则上不得超过200页，</w:t>
            </w:r>
            <w:r>
              <w:rPr>
                <w:rFonts w:hint="eastAsia" w:asciiTheme="minorEastAsia" w:hAnsiTheme="minorEastAsia" w:eastAsiaTheme="minorEastAsia" w:cstheme="minorEastAsia"/>
                <w:color w:val="auto"/>
                <w:szCs w:val="21"/>
                <w:highlight w:val="none"/>
              </w:rPr>
              <w:t>但不得将页数作为评审因素</w:t>
            </w:r>
            <w:r>
              <w:rPr>
                <w:rFonts w:hint="eastAsia" w:ascii="宋体" w:hAnsi="宋体"/>
                <w:color w:val="auto"/>
                <w:szCs w:val="21"/>
                <w:highlight w:val="none"/>
              </w:rPr>
              <w:t>。）</w:t>
            </w:r>
          </w:p>
          <w:p w14:paraId="7EDF62B3">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（3）资格审查资料的装订要求</w:t>
            </w:r>
          </w:p>
          <w:p w14:paraId="739C56B1">
            <w:pPr>
              <w:autoSpaceDE w:val="0"/>
              <w:autoSpaceDN w:val="0"/>
              <w:adjustRightInd w:val="0"/>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应按照第八章规定格式装订成册，并应编制目录。</w:t>
            </w:r>
          </w:p>
        </w:tc>
      </w:tr>
      <w:tr w14:paraId="52C5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07BE360E">
            <w:pPr>
              <w:snapToGrid w:val="0"/>
              <w:spacing w:line="46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1478" w:type="dxa"/>
            <w:tcBorders>
              <w:top w:val="single" w:color="auto" w:sz="4" w:space="0"/>
              <w:left w:val="single" w:color="auto" w:sz="4" w:space="0"/>
              <w:bottom w:val="single" w:color="auto" w:sz="4" w:space="0"/>
              <w:right w:val="single" w:color="auto" w:sz="4" w:space="0"/>
            </w:tcBorders>
            <w:vAlign w:val="center"/>
          </w:tcPr>
          <w:p w14:paraId="213E10E2">
            <w:pPr>
              <w:snapToGrid w:val="0"/>
              <w:spacing w:line="460" w:lineRule="exact"/>
              <w:rPr>
                <w:rFonts w:ascii="宋体" w:hAnsi="宋体" w:cs="宋体"/>
                <w:color w:val="auto"/>
                <w:kern w:val="0"/>
                <w:szCs w:val="21"/>
                <w:highlight w:val="none"/>
              </w:rPr>
            </w:pPr>
            <w:r>
              <w:rPr>
                <w:rFonts w:hint="eastAsia" w:ascii="宋体" w:hAnsi="宋体" w:cs="MingLiU"/>
                <w:color w:val="auto"/>
                <w:kern w:val="0"/>
                <w:szCs w:val="21"/>
                <w:highlight w:val="none"/>
              </w:rPr>
              <w:t>比选申请文件的密封</w:t>
            </w:r>
          </w:p>
        </w:tc>
        <w:tc>
          <w:tcPr>
            <w:tcW w:w="7442" w:type="dxa"/>
            <w:tcBorders>
              <w:top w:val="single" w:color="auto" w:sz="4" w:space="0"/>
              <w:left w:val="single" w:color="auto" w:sz="4" w:space="0"/>
              <w:bottom w:val="single" w:color="auto" w:sz="4" w:space="0"/>
              <w:right w:val="single" w:color="auto" w:sz="4" w:space="0"/>
            </w:tcBorders>
            <w:vAlign w:val="center"/>
          </w:tcPr>
          <w:p w14:paraId="3CAF4B9E">
            <w:pPr>
              <w:spacing w:line="460" w:lineRule="exact"/>
              <w:ind w:firstLine="435"/>
              <w:rPr>
                <w:rFonts w:ascii="宋体" w:hAnsi="宋体"/>
                <w:color w:val="auto"/>
                <w:szCs w:val="21"/>
                <w:highlight w:val="none"/>
              </w:rPr>
            </w:pPr>
            <w:r>
              <w:rPr>
                <w:rFonts w:hint="eastAsia" w:ascii="宋体" w:hAnsi="宋体"/>
                <w:color w:val="auto"/>
                <w:szCs w:val="21"/>
                <w:highlight w:val="none"/>
              </w:rPr>
              <w:t>1.比选申请文件袋使用 “投标函部分”袋、“技术部分”袋、“资格审查资料”袋以及“投标文件”大袋。</w:t>
            </w:r>
          </w:p>
          <w:p w14:paraId="6C400A77">
            <w:pPr>
              <w:spacing w:line="460" w:lineRule="exact"/>
              <w:ind w:firstLine="435"/>
              <w:rPr>
                <w:rFonts w:ascii="宋体" w:hAnsi="宋体"/>
                <w:color w:val="auto"/>
                <w:szCs w:val="21"/>
                <w:highlight w:val="none"/>
              </w:rPr>
            </w:pPr>
            <w:r>
              <w:rPr>
                <w:rFonts w:hint="eastAsia" w:ascii="宋体" w:hAnsi="宋体"/>
                <w:color w:val="auto"/>
                <w:szCs w:val="21"/>
                <w:highlight w:val="none"/>
              </w:rPr>
              <w:t>2.比选申请函部分装入“投标函部分”袋中，密封并在袋上加盖比选申请人单位法人章。</w:t>
            </w:r>
          </w:p>
          <w:p w14:paraId="6482B622">
            <w:pPr>
              <w:spacing w:line="460" w:lineRule="exact"/>
              <w:ind w:firstLine="435"/>
              <w:rPr>
                <w:rFonts w:ascii="宋体" w:hAnsi="宋体"/>
                <w:color w:val="auto"/>
                <w:szCs w:val="21"/>
                <w:highlight w:val="none"/>
              </w:rPr>
            </w:pPr>
            <w:r>
              <w:rPr>
                <w:rFonts w:hint="eastAsia" w:ascii="宋体" w:hAnsi="宋体"/>
                <w:color w:val="auto"/>
                <w:szCs w:val="21"/>
                <w:highlight w:val="none"/>
              </w:rPr>
              <w:t>3.技术部分装入“技术部分”袋中，密封不加盖任何印章。</w:t>
            </w:r>
          </w:p>
          <w:p w14:paraId="0D1DD455">
            <w:pPr>
              <w:spacing w:line="460" w:lineRule="exact"/>
              <w:ind w:firstLine="435"/>
              <w:rPr>
                <w:rFonts w:ascii="宋体" w:hAnsi="宋体"/>
                <w:color w:val="auto"/>
                <w:szCs w:val="21"/>
                <w:highlight w:val="none"/>
              </w:rPr>
            </w:pPr>
            <w:r>
              <w:rPr>
                <w:rFonts w:hint="eastAsia" w:ascii="宋体" w:hAnsi="宋体"/>
                <w:color w:val="auto"/>
                <w:szCs w:val="21"/>
                <w:highlight w:val="none"/>
              </w:rPr>
              <w:t>4.“投标函部分” 、“技术部分”等小袋装入“投标文件”大袋中，密封并在大袋上加盖比选申请人单位法人章，同时“投标文件”大袋应按本表第4.1.2项的规定写明相应内容。</w:t>
            </w:r>
          </w:p>
          <w:p w14:paraId="04292458">
            <w:pPr>
              <w:spacing w:line="460" w:lineRule="exact"/>
              <w:ind w:firstLine="435"/>
              <w:rPr>
                <w:rFonts w:ascii="宋体" w:hAnsi="宋体"/>
                <w:color w:val="auto"/>
                <w:szCs w:val="21"/>
                <w:highlight w:val="none"/>
              </w:rPr>
            </w:pPr>
            <w:r>
              <w:rPr>
                <w:rFonts w:hint="eastAsia" w:ascii="宋体" w:hAnsi="宋体"/>
                <w:color w:val="auto"/>
                <w:szCs w:val="21"/>
                <w:highlight w:val="none"/>
              </w:rPr>
              <w:t>5.“资格审查资料”单独封装，密封并加盖比选申请人单位法人章，同时应按本表第4.1.2项的规定写明相应内容。</w:t>
            </w:r>
          </w:p>
          <w:p w14:paraId="14AF7977">
            <w:pPr>
              <w:spacing w:line="460" w:lineRule="exact"/>
              <w:ind w:firstLine="435"/>
              <w:rPr>
                <w:rFonts w:ascii="宋体" w:hAnsi="宋体"/>
                <w:color w:val="auto"/>
                <w:szCs w:val="21"/>
                <w:highlight w:val="none"/>
              </w:rPr>
            </w:pPr>
            <w:r>
              <w:rPr>
                <w:rFonts w:hint="eastAsia" w:ascii="宋体" w:hAnsi="宋体"/>
                <w:color w:val="auto"/>
                <w:szCs w:val="21"/>
                <w:highlight w:val="none"/>
              </w:rPr>
              <w:t>6. 如未按上述规定封装和要求填写的，比选人或比选代理机构应当拒绝接收。</w:t>
            </w:r>
          </w:p>
          <w:p w14:paraId="713EBF36">
            <w:pPr>
              <w:spacing w:line="460" w:lineRule="exact"/>
              <w:ind w:firstLine="435"/>
              <w:rPr>
                <w:rFonts w:ascii="宋体" w:hAnsi="宋体"/>
                <w:color w:val="auto"/>
                <w:szCs w:val="21"/>
                <w:highlight w:val="none"/>
              </w:rPr>
            </w:pPr>
            <w:r>
              <w:rPr>
                <w:rFonts w:hint="eastAsia" w:ascii="宋体" w:hAnsi="宋体"/>
                <w:color w:val="auto"/>
                <w:szCs w:val="21"/>
                <w:highlight w:val="none"/>
              </w:rPr>
              <w:t>注：若投标小袋无法全部装下相应的投标资料，可以增加相同的投标小袋、“投标文件”大袋无法全部装下投标小袋，可以增加相同的“投标文件”大袋。</w:t>
            </w:r>
          </w:p>
        </w:tc>
      </w:tr>
      <w:tr w14:paraId="2C1E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32B6186E">
            <w:pPr>
              <w:snapToGrid w:val="0"/>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1478" w:type="dxa"/>
            <w:tcBorders>
              <w:top w:val="single" w:color="auto" w:sz="4" w:space="0"/>
              <w:left w:val="single" w:color="auto" w:sz="4" w:space="0"/>
              <w:bottom w:val="single" w:color="auto" w:sz="4" w:space="0"/>
              <w:right w:val="single" w:color="auto" w:sz="4" w:space="0"/>
            </w:tcBorders>
            <w:vAlign w:val="center"/>
          </w:tcPr>
          <w:p w14:paraId="0EADAE7E">
            <w:pPr>
              <w:snapToGrid w:val="0"/>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7442" w:type="dxa"/>
            <w:tcBorders>
              <w:top w:val="single" w:color="auto" w:sz="4" w:space="0"/>
              <w:left w:val="single" w:color="auto" w:sz="4" w:space="0"/>
              <w:bottom w:val="single" w:color="auto" w:sz="4" w:space="0"/>
              <w:right w:val="single" w:color="auto" w:sz="4" w:space="0"/>
            </w:tcBorders>
            <w:vAlign w:val="center"/>
          </w:tcPr>
          <w:p w14:paraId="6A06A46E">
            <w:pPr>
              <w:snapToGrid w:val="0"/>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应在“</w:t>
            </w:r>
            <w:r>
              <w:rPr>
                <w:rFonts w:hint="eastAsia" w:ascii="宋体" w:hAnsi="宋体"/>
                <w:color w:val="auto"/>
                <w:szCs w:val="21"/>
                <w:highlight w:val="none"/>
              </w:rPr>
              <w:t>投标文件</w:t>
            </w:r>
            <w:r>
              <w:rPr>
                <w:rFonts w:hint="eastAsia" w:ascii="宋体" w:hAnsi="宋体" w:cs="宋体"/>
                <w:color w:val="auto"/>
                <w:kern w:val="0"/>
                <w:szCs w:val="21"/>
                <w:highlight w:val="none"/>
              </w:rPr>
              <w:t>”大袋和“资格审查资料”封套上写明如下内容：</w:t>
            </w:r>
          </w:p>
          <w:p w14:paraId="691A4DCF">
            <w:pPr>
              <w:snapToGrid w:val="0"/>
              <w:spacing w:line="460" w:lineRule="exact"/>
              <w:ind w:firstLine="420" w:firstLineChars="200"/>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比选人名称：</w:t>
            </w:r>
            <w:r>
              <w:rPr>
                <w:rFonts w:hint="eastAsia" w:asciiTheme="minorEastAsia" w:hAnsiTheme="minorEastAsia" w:eastAsiaTheme="minorEastAsia"/>
                <w:color w:val="auto"/>
                <w:kern w:val="0"/>
                <w:szCs w:val="21"/>
                <w:highlight w:val="none"/>
                <w:u w:val="single"/>
              </w:rPr>
              <w:t xml:space="preserve">            </w:t>
            </w:r>
          </w:p>
          <w:p w14:paraId="62D5B754">
            <w:pPr>
              <w:snapToGrid w:val="0"/>
              <w:spacing w:line="460" w:lineRule="exact"/>
              <w:ind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比选申请人名称：</w:t>
            </w:r>
            <w:r>
              <w:rPr>
                <w:rFonts w:hint="eastAsia" w:asciiTheme="minorEastAsia" w:hAnsiTheme="minorEastAsia" w:eastAsiaTheme="minorEastAsia"/>
                <w:color w:val="auto"/>
                <w:kern w:val="0"/>
                <w:szCs w:val="21"/>
                <w:highlight w:val="none"/>
                <w:u w:val="single"/>
              </w:rPr>
              <w:t xml:space="preserve">            </w:t>
            </w:r>
          </w:p>
          <w:p w14:paraId="6155FDF7">
            <w:pPr>
              <w:snapToGrid w:val="0"/>
              <w:spacing w:line="460" w:lineRule="exact"/>
              <w:ind w:firstLine="420" w:firstLineChars="200"/>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u w:val="single"/>
              </w:rPr>
              <w:t xml:space="preserve">                （项目名称）</w:t>
            </w:r>
            <w:r>
              <w:rPr>
                <w:rFonts w:hint="eastAsia" w:asciiTheme="minorEastAsia" w:hAnsiTheme="minorEastAsia" w:eastAsiaTheme="minorEastAsia"/>
                <w:color w:val="auto"/>
                <w:kern w:val="0"/>
                <w:szCs w:val="21"/>
                <w:highlight w:val="none"/>
              </w:rPr>
              <w:t>比选申请</w:t>
            </w:r>
            <w:r>
              <w:rPr>
                <w:rFonts w:asciiTheme="minorEastAsia" w:hAnsiTheme="minorEastAsia" w:eastAsiaTheme="minorEastAsia"/>
                <w:color w:val="auto"/>
                <w:kern w:val="0"/>
                <w:szCs w:val="21"/>
                <w:highlight w:val="none"/>
              </w:rPr>
              <w:t>文件</w:t>
            </w:r>
          </w:p>
          <w:p w14:paraId="15C87495">
            <w:pPr>
              <w:snapToGrid w:val="0"/>
              <w:spacing w:line="460" w:lineRule="exact"/>
              <w:ind w:firstLine="420" w:firstLineChars="200"/>
              <w:rPr>
                <w:rFonts w:ascii="宋体" w:hAnsi="宋体" w:cs="宋体"/>
                <w:color w:val="auto"/>
                <w:kern w:val="0"/>
                <w:szCs w:val="21"/>
                <w:highlight w:val="none"/>
              </w:rPr>
            </w:pPr>
            <w:r>
              <w:rPr>
                <w:rFonts w:asciiTheme="minorEastAsia" w:hAnsiTheme="minorEastAsia" w:eastAsiaTheme="minorEastAsia"/>
                <w:color w:val="auto"/>
                <w:kern w:val="0"/>
                <w:szCs w:val="21"/>
                <w:highlight w:val="none"/>
              </w:rPr>
              <w:t>在</w:t>
            </w:r>
            <w:r>
              <w:rPr>
                <w:rFonts w:hint="eastAsia" w:asciiTheme="minorEastAsia" w:hAnsiTheme="minorEastAsia" w:eastAsiaTheme="minorEastAsia"/>
                <w:color w:val="auto"/>
                <w:kern w:val="0"/>
                <w:szCs w:val="21"/>
                <w:highlight w:val="none"/>
                <w:u w:val="single"/>
              </w:rPr>
              <w:t xml:space="preserve">    </w:t>
            </w:r>
            <w:r>
              <w:rPr>
                <w:rFonts w:asciiTheme="minorEastAsia" w:hAnsiTheme="minorEastAsia" w:eastAsiaTheme="minorEastAsia"/>
                <w:color w:val="auto"/>
                <w:kern w:val="0"/>
                <w:szCs w:val="21"/>
                <w:highlight w:val="none"/>
              </w:rPr>
              <w:t>年</w:t>
            </w:r>
            <w:r>
              <w:rPr>
                <w:rFonts w:hint="eastAsia" w:asciiTheme="minorEastAsia" w:hAnsiTheme="minorEastAsia" w:eastAsiaTheme="minorEastAsia"/>
                <w:color w:val="auto"/>
                <w:kern w:val="0"/>
                <w:szCs w:val="21"/>
                <w:highlight w:val="none"/>
                <w:u w:val="single"/>
              </w:rPr>
              <w:t xml:space="preserve">    </w:t>
            </w:r>
            <w:r>
              <w:rPr>
                <w:rFonts w:asciiTheme="minorEastAsia" w:hAnsiTheme="minorEastAsia" w:eastAsiaTheme="minorEastAsia"/>
                <w:color w:val="auto"/>
                <w:kern w:val="0"/>
                <w:szCs w:val="21"/>
                <w:highlight w:val="none"/>
              </w:rPr>
              <w:t>月</w:t>
            </w:r>
            <w:r>
              <w:rPr>
                <w:rFonts w:hint="eastAsia" w:asciiTheme="minorEastAsia" w:hAnsiTheme="minorEastAsia" w:eastAsiaTheme="minorEastAsia"/>
                <w:color w:val="auto"/>
                <w:kern w:val="0"/>
                <w:szCs w:val="21"/>
                <w:highlight w:val="none"/>
                <w:u w:val="single"/>
              </w:rPr>
              <w:t xml:space="preserve">    </w:t>
            </w:r>
            <w:r>
              <w:rPr>
                <w:rFonts w:asciiTheme="minorEastAsia" w:hAnsiTheme="minorEastAsia" w:eastAsiaTheme="minorEastAsia"/>
                <w:color w:val="auto"/>
                <w:kern w:val="0"/>
                <w:szCs w:val="21"/>
                <w:highlight w:val="none"/>
              </w:rPr>
              <w:t>日</w:t>
            </w:r>
            <w:r>
              <w:rPr>
                <w:rFonts w:hint="eastAsia" w:asciiTheme="minorEastAsia" w:hAnsiTheme="minorEastAsia" w:eastAsiaTheme="minorEastAsia"/>
                <w:color w:val="auto"/>
                <w:kern w:val="0"/>
                <w:szCs w:val="21"/>
                <w:highlight w:val="none"/>
                <w:u w:val="single"/>
              </w:rPr>
              <w:t xml:space="preserve">    </w:t>
            </w:r>
            <w:r>
              <w:rPr>
                <w:rFonts w:asciiTheme="minorEastAsia" w:hAnsiTheme="minorEastAsia" w:eastAsiaTheme="minorEastAsia"/>
                <w:color w:val="auto"/>
                <w:kern w:val="0"/>
                <w:szCs w:val="21"/>
                <w:highlight w:val="none"/>
              </w:rPr>
              <w:t>时</w:t>
            </w:r>
            <w:r>
              <w:rPr>
                <w:rFonts w:hint="eastAsia" w:asciiTheme="minorEastAsia" w:hAnsiTheme="minorEastAsia" w:eastAsiaTheme="minorEastAsia"/>
                <w:color w:val="auto"/>
                <w:kern w:val="0"/>
                <w:szCs w:val="21"/>
                <w:highlight w:val="none"/>
                <w:u w:val="single"/>
              </w:rPr>
              <w:t xml:space="preserve">    </w:t>
            </w:r>
            <w:r>
              <w:rPr>
                <w:rFonts w:asciiTheme="minorEastAsia" w:hAnsiTheme="minorEastAsia" w:eastAsiaTheme="minorEastAsia"/>
                <w:color w:val="auto"/>
                <w:kern w:val="0"/>
                <w:szCs w:val="21"/>
                <w:highlight w:val="none"/>
              </w:rPr>
              <w:t>分前不得开启</w:t>
            </w:r>
          </w:p>
        </w:tc>
      </w:tr>
      <w:tr w14:paraId="1B87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2156A602">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4.2.2</w:t>
            </w:r>
          </w:p>
        </w:tc>
        <w:tc>
          <w:tcPr>
            <w:tcW w:w="1478" w:type="dxa"/>
            <w:tcBorders>
              <w:top w:val="single" w:color="auto" w:sz="4" w:space="0"/>
              <w:left w:val="single" w:color="auto" w:sz="4" w:space="0"/>
              <w:bottom w:val="single" w:color="auto" w:sz="4" w:space="0"/>
              <w:right w:val="single" w:color="auto" w:sz="4" w:space="0"/>
            </w:tcBorders>
            <w:vAlign w:val="center"/>
          </w:tcPr>
          <w:p w14:paraId="79DB2A8F">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递交比选申请文件地点</w:t>
            </w:r>
          </w:p>
        </w:tc>
        <w:tc>
          <w:tcPr>
            <w:tcW w:w="7442" w:type="dxa"/>
            <w:tcBorders>
              <w:top w:val="single" w:color="auto" w:sz="4" w:space="0"/>
              <w:left w:val="single" w:color="auto" w:sz="4" w:space="0"/>
              <w:bottom w:val="single" w:color="auto" w:sz="4" w:space="0"/>
              <w:right w:val="single" w:color="auto" w:sz="4" w:space="0"/>
            </w:tcBorders>
            <w:vAlign w:val="center"/>
          </w:tcPr>
          <w:p w14:paraId="25CC0C94">
            <w:pPr>
              <w:snapToGrid w:val="0"/>
              <w:spacing w:line="460" w:lineRule="exact"/>
              <w:rPr>
                <w:rFonts w:ascii="宋体" w:hAnsi="宋体" w:cs="宋体"/>
                <w:color w:val="auto"/>
                <w:kern w:val="0"/>
                <w:szCs w:val="21"/>
                <w:highlight w:val="none"/>
              </w:rPr>
            </w:pPr>
            <w:r>
              <w:rPr>
                <w:rFonts w:hint="eastAsia" w:ascii="宋体" w:hAnsi="宋体"/>
                <w:color w:val="auto"/>
                <w:kern w:val="0"/>
                <w:szCs w:val="21"/>
                <w:highlight w:val="none"/>
              </w:rPr>
              <w:t xml:space="preserve"> 九龙坡区渝隆大厦</w:t>
            </w:r>
            <w:r>
              <w:rPr>
                <w:rFonts w:hint="eastAsia" w:ascii="宋体" w:hAnsi="宋体"/>
                <w:color w:val="auto"/>
                <w:kern w:val="0"/>
                <w:szCs w:val="21"/>
                <w:highlight w:val="none"/>
                <w:lang w:val="en-US" w:eastAsia="zh-CN"/>
              </w:rPr>
              <w:t>8</w:t>
            </w:r>
            <w:r>
              <w:rPr>
                <w:rFonts w:hint="eastAsia" w:ascii="宋体" w:hAnsi="宋体"/>
                <w:color w:val="auto"/>
                <w:kern w:val="0"/>
                <w:szCs w:val="21"/>
                <w:highlight w:val="none"/>
              </w:rPr>
              <w:t>楼会议室</w:t>
            </w:r>
          </w:p>
        </w:tc>
      </w:tr>
      <w:tr w14:paraId="3C2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63869678">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1478" w:type="dxa"/>
            <w:tcBorders>
              <w:top w:val="single" w:color="auto" w:sz="4" w:space="0"/>
              <w:left w:val="single" w:color="auto" w:sz="4" w:space="0"/>
              <w:bottom w:val="single" w:color="auto" w:sz="4" w:space="0"/>
              <w:right w:val="single" w:color="auto" w:sz="4" w:space="0"/>
            </w:tcBorders>
            <w:vAlign w:val="center"/>
          </w:tcPr>
          <w:p w14:paraId="7C946FBD">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是否退还比选申请文件</w:t>
            </w:r>
          </w:p>
        </w:tc>
        <w:tc>
          <w:tcPr>
            <w:tcW w:w="7442" w:type="dxa"/>
            <w:tcBorders>
              <w:top w:val="single" w:color="auto" w:sz="4" w:space="0"/>
              <w:left w:val="single" w:color="auto" w:sz="4" w:space="0"/>
              <w:bottom w:val="single" w:color="auto" w:sz="4" w:space="0"/>
              <w:right w:val="single" w:color="auto" w:sz="4" w:space="0"/>
            </w:tcBorders>
            <w:vAlign w:val="center"/>
          </w:tcPr>
          <w:p w14:paraId="498AC7CA">
            <w:pPr>
              <w:spacing w:line="460" w:lineRule="exact"/>
              <w:rPr>
                <w:color w:val="auto"/>
                <w:highlight w:val="none"/>
              </w:rPr>
            </w:pPr>
            <w:r>
              <w:rPr>
                <w:rFonts w:hint="eastAsia" w:ascii="宋体" w:hAnsi="宋体" w:cs="宋体"/>
                <w:color w:val="auto"/>
                <w:kern w:val="0"/>
                <w:szCs w:val="21"/>
                <w:highlight w:val="none"/>
              </w:rPr>
              <w:t>否</w:t>
            </w:r>
          </w:p>
        </w:tc>
      </w:tr>
      <w:tr w14:paraId="6A55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7C8639B6">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1478" w:type="dxa"/>
            <w:tcBorders>
              <w:top w:val="single" w:color="auto" w:sz="4" w:space="0"/>
              <w:left w:val="single" w:color="auto" w:sz="4" w:space="0"/>
              <w:bottom w:val="single" w:color="auto" w:sz="4" w:space="0"/>
              <w:right w:val="single" w:color="auto" w:sz="4" w:space="0"/>
            </w:tcBorders>
            <w:vAlign w:val="center"/>
          </w:tcPr>
          <w:p w14:paraId="30786CA6">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比选时间和地点</w:t>
            </w:r>
          </w:p>
        </w:tc>
        <w:tc>
          <w:tcPr>
            <w:tcW w:w="7442" w:type="dxa"/>
            <w:tcBorders>
              <w:top w:val="single" w:color="auto" w:sz="4" w:space="0"/>
              <w:left w:val="single" w:color="auto" w:sz="4" w:space="0"/>
              <w:bottom w:val="single" w:color="auto" w:sz="4" w:space="0"/>
              <w:right w:val="single" w:color="auto" w:sz="4" w:space="0"/>
            </w:tcBorders>
            <w:vAlign w:val="center"/>
          </w:tcPr>
          <w:p w14:paraId="0D53FFDE">
            <w:pPr>
              <w:snapToGrid w:val="0"/>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开标时间：同比选申请截止时间</w:t>
            </w:r>
          </w:p>
          <w:p w14:paraId="30AB367B">
            <w:pPr>
              <w:snapToGrid w:val="0"/>
              <w:spacing w:line="460" w:lineRule="exact"/>
              <w:rPr>
                <w:rFonts w:ascii="宋体" w:hAnsi="宋体" w:cs="宋体"/>
                <w:color w:val="auto"/>
                <w:kern w:val="0"/>
                <w:szCs w:val="21"/>
                <w:highlight w:val="none"/>
                <w:u w:val="single"/>
              </w:rPr>
            </w:pPr>
            <w:r>
              <w:rPr>
                <w:rFonts w:hint="eastAsia" w:ascii="宋体" w:hAnsi="宋体" w:cs="宋体"/>
                <w:color w:val="auto"/>
                <w:kern w:val="0"/>
                <w:szCs w:val="21"/>
                <w:highlight w:val="none"/>
              </w:rPr>
              <w:t>开标地点：</w:t>
            </w:r>
            <w:r>
              <w:rPr>
                <w:rFonts w:hint="eastAsia" w:ascii="宋体" w:hAnsi="宋体"/>
                <w:color w:val="auto"/>
                <w:kern w:val="0"/>
                <w:szCs w:val="21"/>
                <w:highlight w:val="none"/>
              </w:rPr>
              <w:t>九龙坡区渝隆大厦</w:t>
            </w:r>
            <w:r>
              <w:rPr>
                <w:rFonts w:hint="eastAsia" w:ascii="宋体" w:hAnsi="宋体"/>
                <w:color w:val="auto"/>
                <w:kern w:val="0"/>
                <w:szCs w:val="21"/>
                <w:highlight w:val="none"/>
                <w:lang w:val="en-US" w:eastAsia="zh-CN"/>
              </w:rPr>
              <w:t>8</w:t>
            </w:r>
            <w:r>
              <w:rPr>
                <w:rFonts w:hint="eastAsia" w:ascii="宋体" w:hAnsi="宋体"/>
                <w:color w:val="auto"/>
                <w:kern w:val="0"/>
                <w:szCs w:val="21"/>
                <w:highlight w:val="none"/>
              </w:rPr>
              <w:t>楼会议室</w:t>
            </w:r>
          </w:p>
        </w:tc>
      </w:tr>
      <w:tr w14:paraId="3D8E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17C10159">
            <w:pPr>
              <w:snapToGrid w:val="0"/>
              <w:spacing w:line="460" w:lineRule="exact"/>
              <w:jc w:val="center"/>
              <w:rPr>
                <w:rFonts w:ascii="宋体" w:hAnsi="宋体"/>
                <w:color w:val="auto"/>
                <w:szCs w:val="21"/>
                <w:highlight w:val="none"/>
              </w:rPr>
            </w:pPr>
            <w:r>
              <w:rPr>
                <w:rFonts w:hint="eastAsia" w:ascii="宋体" w:hAnsi="宋体"/>
                <w:color w:val="auto"/>
                <w:szCs w:val="21"/>
                <w:highlight w:val="none"/>
              </w:rPr>
              <w:t>5.2</w:t>
            </w:r>
          </w:p>
        </w:tc>
        <w:tc>
          <w:tcPr>
            <w:tcW w:w="1478" w:type="dxa"/>
            <w:tcBorders>
              <w:top w:val="single" w:color="auto" w:sz="4" w:space="0"/>
              <w:left w:val="single" w:color="auto" w:sz="4" w:space="0"/>
              <w:bottom w:val="single" w:color="auto" w:sz="4" w:space="0"/>
              <w:right w:val="single" w:color="auto" w:sz="4" w:space="0"/>
            </w:tcBorders>
            <w:vAlign w:val="center"/>
          </w:tcPr>
          <w:p w14:paraId="70A8421D">
            <w:pPr>
              <w:snapToGrid w:val="0"/>
              <w:spacing w:line="460" w:lineRule="exact"/>
              <w:jc w:val="center"/>
              <w:rPr>
                <w:rFonts w:ascii="宋体" w:hAnsi="宋体"/>
                <w:color w:val="auto"/>
                <w:szCs w:val="21"/>
                <w:highlight w:val="none"/>
              </w:rPr>
            </w:pPr>
            <w:r>
              <w:rPr>
                <w:rFonts w:hint="eastAsia" w:ascii="宋体" w:hAnsi="宋体"/>
                <w:color w:val="auto"/>
                <w:szCs w:val="21"/>
                <w:highlight w:val="none"/>
              </w:rPr>
              <w:t>比选程序</w:t>
            </w:r>
          </w:p>
        </w:tc>
        <w:tc>
          <w:tcPr>
            <w:tcW w:w="7442" w:type="dxa"/>
            <w:tcBorders>
              <w:top w:val="single" w:color="auto" w:sz="4" w:space="0"/>
              <w:left w:val="single" w:color="auto" w:sz="4" w:space="0"/>
              <w:bottom w:val="single" w:color="auto" w:sz="4" w:space="0"/>
              <w:right w:val="single" w:color="auto" w:sz="4" w:space="0"/>
            </w:tcBorders>
            <w:vAlign w:val="center"/>
          </w:tcPr>
          <w:p w14:paraId="107C707E">
            <w:pPr>
              <w:autoSpaceDE w:val="0"/>
              <w:autoSpaceDN w:val="0"/>
              <w:adjustRightInd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主持人按下列程序进行开标：</w:t>
            </w:r>
          </w:p>
          <w:p w14:paraId="74AD77D3">
            <w:pPr>
              <w:adjustRightInd w:val="0"/>
              <w:snapToGrid w:val="0"/>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 宣布开标人、唱标人、记录人、监标人等有关人员姓名；</w:t>
            </w:r>
          </w:p>
          <w:p w14:paraId="093ECCAF">
            <w:pPr>
              <w:adjustRightInd w:val="0"/>
              <w:snapToGrid w:val="0"/>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 宣布开标纪律；</w:t>
            </w:r>
          </w:p>
          <w:p w14:paraId="3F3CC054">
            <w:pPr>
              <w:adjustRightInd w:val="0"/>
              <w:snapToGrid w:val="0"/>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公布在比选申请截止时间前递交比选申请文件的比选申请人名称，并点名确认比选申请人是否派人到场；</w:t>
            </w:r>
          </w:p>
          <w:p w14:paraId="5D50B587">
            <w:pPr>
              <w:adjustRightInd w:val="0"/>
              <w:snapToGrid w:val="0"/>
              <w:spacing w:line="460" w:lineRule="exact"/>
              <w:ind w:firstLine="420" w:firstLineChars="200"/>
              <w:rPr>
                <w:rFonts w:ascii="宋体" w:hAnsi="宋体"/>
                <w:b/>
                <w:color w:val="auto"/>
                <w:szCs w:val="21"/>
                <w:highlight w:val="none"/>
              </w:rPr>
            </w:pPr>
            <w:r>
              <w:rPr>
                <w:rFonts w:hint="eastAsia" w:ascii="宋体" w:hAnsi="宋体" w:cs="宋体"/>
                <w:color w:val="auto"/>
                <w:kern w:val="0"/>
                <w:szCs w:val="21"/>
                <w:highlight w:val="none"/>
              </w:rPr>
              <w:t>4. 核验参加开标会议的比选申请人的法定代表人或授权代理人本人身份证（原件），核验被授权代理人的授权委托书（原件）、法定代表人身份证明（原件），如是法定代表人亲自参与投标，核验法定代表人身份证明，以确认其身份合法有效；</w:t>
            </w:r>
            <w:r>
              <w:rPr>
                <w:rFonts w:hint="eastAsia" w:asciiTheme="minorEastAsia" w:hAnsiTheme="minorEastAsia" w:eastAsiaTheme="minorEastAsia"/>
                <w:color w:val="auto"/>
                <w:highlight w:val="none"/>
              </w:rPr>
              <w:t>若比选申请人的法定代表人或委托代理人身份核验不合格，则视为未派代表参加开标会，并默认开标结果；</w:t>
            </w:r>
          </w:p>
          <w:p w14:paraId="390626FD">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 密封情况检查：比选申请人或者其代表检查比选申请文件的密封情况并确认。</w:t>
            </w:r>
          </w:p>
          <w:p w14:paraId="00E5DA1B">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6.汇总比选申请保证金交纳情况</w:t>
            </w:r>
          </w:p>
          <w:p w14:paraId="7336AEB1">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6.1展示以现金方式递交比选申请保证金的保证金交纳情况。</w:t>
            </w:r>
          </w:p>
          <w:p w14:paraId="548D7126">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 设有最高限价的，公布最高限价；</w:t>
            </w:r>
          </w:p>
          <w:p w14:paraId="4E8365F2">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 开启比选申请文件顺序：随机开启；</w:t>
            </w:r>
          </w:p>
          <w:p w14:paraId="78526CAE">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 宣布当众开标，开启资格审查资料袋、投标文件袋及比投标函部分袋、技术部分袋，公布比选申请人名称、比选申请总报价、质量目标、工期及其他内容；</w:t>
            </w:r>
          </w:p>
          <w:p w14:paraId="09D19F8C">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10. 比选申请人代表、比选人代表、监标人、记录人等有关人员在开标记录上签名确认；</w:t>
            </w:r>
          </w:p>
          <w:p w14:paraId="4E5AED82">
            <w:pPr>
              <w:snapToGrid w:val="0"/>
              <w:spacing w:line="4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11. 开标结束。</w:t>
            </w:r>
          </w:p>
        </w:tc>
      </w:tr>
      <w:tr w14:paraId="3D6B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9" w:type="dxa"/>
            <w:tcBorders>
              <w:top w:val="single" w:color="auto" w:sz="4" w:space="0"/>
              <w:left w:val="single" w:color="auto" w:sz="4" w:space="0"/>
              <w:bottom w:val="single" w:color="auto" w:sz="4" w:space="0"/>
              <w:right w:val="single" w:color="auto" w:sz="4" w:space="0"/>
            </w:tcBorders>
            <w:vAlign w:val="center"/>
          </w:tcPr>
          <w:p w14:paraId="1975CB70">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1478" w:type="dxa"/>
            <w:tcBorders>
              <w:top w:val="single" w:color="auto" w:sz="4" w:space="0"/>
              <w:left w:val="single" w:color="auto" w:sz="4" w:space="0"/>
              <w:bottom w:val="single" w:color="auto" w:sz="4" w:space="0"/>
              <w:right w:val="single" w:color="auto" w:sz="4" w:space="0"/>
            </w:tcBorders>
            <w:vAlign w:val="center"/>
          </w:tcPr>
          <w:p w14:paraId="55914026">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评标委员会的组建</w:t>
            </w:r>
          </w:p>
        </w:tc>
        <w:tc>
          <w:tcPr>
            <w:tcW w:w="7442" w:type="dxa"/>
            <w:tcBorders>
              <w:top w:val="single" w:color="auto" w:sz="4" w:space="0"/>
              <w:left w:val="single" w:color="auto" w:sz="4" w:space="0"/>
              <w:bottom w:val="single" w:color="auto" w:sz="4" w:space="0"/>
              <w:right w:val="single" w:color="auto" w:sz="4" w:space="0"/>
            </w:tcBorders>
            <w:vAlign w:val="center"/>
          </w:tcPr>
          <w:p w14:paraId="413327BB">
            <w:pPr>
              <w:autoSpaceDE w:val="0"/>
              <w:autoSpaceDN w:val="0"/>
              <w:adjustRightInd w:val="0"/>
              <w:snapToGrid w:val="0"/>
              <w:spacing w:line="460" w:lineRule="exact"/>
              <w:jc w:val="left"/>
              <w:rPr>
                <w:rFonts w:ascii="宋体" w:hAnsi="宋体"/>
                <w:color w:val="auto"/>
                <w:kern w:val="0"/>
                <w:szCs w:val="21"/>
                <w:highlight w:val="none"/>
              </w:rPr>
            </w:pPr>
            <w:r>
              <w:rPr>
                <w:rFonts w:hint="eastAsia" w:ascii="宋体" w:hAnsi="宋体" w:cs="宋体"/>
                <w:color w:val="auto"/>
                <w:kern w:val="0"/>
                <w:szCs w:val="21"/>
                <w:highlight w:val="none"/>
              </w:rPr>
              <w:t>1．评标委员会构成：共</w:t>
            </w:r>
            <w:r>
              <w:rPr>
                <w:rFonts w:hint="eastAsia" w:ascii="宋体" w:hAnsi="宋体"/>
                <w:color w:val="auto"/>
                <w:kern w:val="0"/>
                <w:szCs w:val="21"/>
                <w:highlight w:val="none"/>
                <w:u w:val="single"/>
              </w:rPr>
              <w:t>3人</w:t>
            </w:r>
            <w:r>
              <w:rPr>
                <w:rFonts w:hint="eastAsia" w:ascii="宋体" w:hAnsi="宋体"/>
                <w:color w:val="auto"/>
                <w:kern w:val="0"/>
                <w:szCs w:val="21"/>
                <w:highlight w:val="none"/>
              </w:rPr>
              <w:t>。</w:t>
            </w:r>
          </w:p>
          <w:p w14:paraId="1415DF14">
            <w:pPr>
              <w:autoSpaceDE w:val="0"/>
              <w:autoSpaceDN w:val="0"/>
              <w:adjustRightInd w:val="0"/>
              <w:snapToGrid w:val="0"/>
              <w:spacing w:line="460" w:lineRule="exact"/>
              <w:jc w:val="left"/>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评标专家确定方式：由比选人依法组建</w:t>
            </w:r>
            <w:r>
              <w:rPr>
                <w:rFonts w:hint="eastAsia" w:ascii="宋体" w:hAnsi="宋体"/>
                <w:color w:val="auto"/>
                <w:kern w:val="0"/>
                <w:szCs w:val="21"/>
                <w:highlight w:val="none"/>
              </w:rPr>
              <w:t>。</w:t>
            </w:r>
          </w:p>
        </w:tc>
      </w:tr>
      <w:tr w14:paraId="254B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71B8EA37">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478" w:type="dxa"/>
            <w:tcBorders>
              <w:top w:val="single" w:color="auto" w:sz="4" w:space="0"/>
              <w:left w:val="single" w:color="auto" w:sz="4" w:space="0"/>
              <w:bottom w:val="single" w:color="auto" w:sz="4" w:space="0"/>
              <w:right w:val="single" w:color="auto" w:sz="4" w:space="0"/>
            </w:tcBorders>
            <w:vAlign w:val="center"/>
          </w:tcPr>
          <w:p w14:paraId="7A9B0257">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是否授权评标委员会确定拟中选人</w:t>
            </w:r>
          </w:p>
        </w:tc>
        <w:tc>
          <w:tcPr>
            <w:tcW w:w="7442" w:type="dxa"/>
            <w:tcBorders>
              <w:top w:val="single" w:color="auto" w:sz="4" w:space="0"/>
              <w:left w:val="single" w:color="auto" w:sz="4" w:space="0"/>
              <w:bottom w:val="single" w:color="auto" w:sz="4" w:space="0"/>
              <w:right w:val="single" w:color="auto" w:sz="4" w:space="0"/>
            </w:tcBorders>
            <w:vAlign w:val="center"/>
          </w:tcPr>
          <w:p w14:paraId="3BE2B13C">
            <w:pPr>
              <w:spacing w:line="460" w:lineRule="exact"/>
              <w:rPr>
                <w:color w:val="auto"/>
                <w:highlight w:val="none"/>
              </w:rPr>
            </w:pPr>
            <w:r>
              <w:rPr>
                <w:rFonts w:hint="eastAsia" w:ascii="宋体" w:hAnsi="宋体" w:cs="宋体"/>
                <w:color w:val="auto"/>
                <w:kern w:val="0"/>
                <w:szCs w:val="21"/>
                <w:highlight w:val="none"/>
              </w:rPr>
              <w:t>否，推荐经评审得分由高到低排名前三名为中选候选人。</w:t>
            </w:r>
          </w:p>
        </w:tc>
      </w:tr>
      <w:tr w14:paraId="5E24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69" w:type="dxa"/>
            <w:tcBorders>
              <w:top w:val="single" w:color="auto" w:sz="4" w:space="0"/>
              <w:left w:val="single" w:color="auto" w:sz="4" w:space="0"/>
              <w:bottom w:val="single" w:color="auto" w:sz="4" w:space="0"/>
              <w:right w:val="single" w:color="auto" w:sz="4" w:space="0"/>
            </w:tcBorders>
            <w:vAlign w:val="center"/>
          </w:tcPr>
          <w:p w14:paraId="474CCD4B">
            <w:pPr>
              <w:snapToGrid w:val="0"/>
              <w:spacing w:line="4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7.3.1</w:t>
            </w:r>
          </w:p>
        </w:tc>
        <w:tc>
          <w:tcPr>
            <w:tcW w:w="1478" w:type="dxa"/>
            <w:tcBorders>
              <w:top w:val="single" w:color="auto" w:sz="4" w:space="0"/>
              <w:left w:val="single" w:color="auto" w:sz="4" w:space="0"/>
              <w:bottom w:val="single" w:color="auto" w:sz="4" w:space="0"/>
              <w:right w:val="single" w:color="auto" w:sz="4" w:space="0"/>
            </w:tcBorders>
            <w:vAlign w:val="center"/>
          </w:tcPr>
          <w:p w14:paraId="0FC69313">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履约保证金</w:t>
            </w:r>
          </w:p>
        </w:tc>
        <w:tc>
          <w:tcPr>
            <w:tcW w:w="7442" w:type="dxa"/>
            <w:tcBorders>
              <w:top w:val="single" w:color="auto" w:sz="4" w:space="0"/>
              <w:left w:val="single" w:color="auto" w:sz="4" w:space="0"/>
              <w:bottom w:val="single" w:color="auto" w:sz="4" w:space="0"/>
              <w:right w:val="single" w:color="auto" w:sz="4" w:space="0"/>
            </w:tcBorders>
            <w:vAlign w:val="center"/>
          </w:tcPr>
          <w:p w14:paraId="51D3739F">
            <w:pPr>
              <w:autoSpaceDE w:val="0"/>
              <w:autoSpaceDN w:val="0"/>
              <w:adjustRightInd w:val="0"/>
              <w:snapToGrid w:val="0"/>
              <w:spacing w:line="460" w:lineRule="exact"/>
              <w:ind w:firstLine="420" w:firstLineChars="200"/>
              <w:jc w:val="left"/>
              <w:rPr>
                <w:color w:val="auto"/>
                <w:highlight w:val="none"/>
              </w:rPr>
            </w:pPr>
            <w:r>
              <w:rPr>
                <w:rFonts w:hint="eastAsia"/>
                <w:color w:val="auto"/>
                <w:highlight w:val="none"/>
              </w:rPr>
              <w:t>承包人提供履约担保的形式、金额及期限：</w:t>
            </w:r>
          </w:p>
          <w:p w14:paraId="71A2EC90">
            <w:pPr>
              <w:autoSpaceDE w:val="0"/>
              <w:autoSpaceDN w:val="0"/>
              <w:adjustRightInd w:val="0"/>
              <w:snapToGrid w:val="0"/>
              <w:spacing w:line="460" w:lineRule="exact"/>
              <w:jc w:val="left"/>
              <w:rPr>
                <w:color w:val="auto"/>
                <w:highlight w:val="none"/>
              </w:rPr>
            </w:pPr>
            <w:r>
              <w:rPr>
                <w:rFonts w:hint="eastAsia"/>
                <w:color w:val="auto"/>
                <w:highlight w:val="none"/>
              </w:rPr>
              <w:t>（1）履约担保的形式：</w:t>
            </w:r>
            <w:r>
              <w:rPr>
                <w:rFonts w:hint="eastAsia" w:asciiTheme="minorEastAsia" w:hAnsiTheme="minorEastAsia" w:eastAsiaTheme="minorEastAsia"/>
                <w:color w:val="auto"/>
                <w:kern w:val="0"/>
                <w:highlight w:val="none"/>
              </w:rPr>
              <w:t>现金或银行保函或现金</w:t>
            </w:r>
            <w:r>
              <w:rPr>
                <w:rFonts w:asciiTheme="minorEastAsia" w:hAnsiTheme="minorEastAsia" w:eastAsiaTheme="minorEastAsia"/>
                <w:color w:val="auto"/>
                <w:kern w:val="0"/>
                <w:highlight w:val="none"/>
              </w:rPr>
              <w:t>+</w:t>
            </w:r>
            <w:r>
              <w:rPr>
                <w:rFonts w:hint="eastAsia" w:asciiTheme="minorEastAsia" w:hAnsiTheme="minorEastAsia" w:eastAsiaTheme="minorEastAsia"/>
                <w:color w:val="auto"/>
                <w:kern w:val="0"/>
                <w:highlight w:val="none"/>
              </w:rPr>
              <w:t>银行保函的组合或专业担保公司保函；采用专业担保公司保函的，仅限于本辖区内国有的担保公司给予的担保；采用银行保函形式的，保函必须为不可撤销且见索即付。</w:t>
            </w:r>
          </w:p>
          <w:p w14:paraId="093F8821">
            <w:pPr>
              <w:autoSpaceDE w:val="0"/>
              <w:autoSpaceDN w:val="0"/>
              <w:adjustRightInd w:val="0"/>
              <w:snapToGrid w:val="0"/>
              <w:spacing w:line="460" w:lineRule="exact"/>
              <w:jc w:val="left"/>
              <w:rPr>
                <w:color w:val="auto"/>
                <w:highlight w:val="none"/>
              </w:rPr>
            </w:pPr>
            <w:r>
              <w:rPr>
                <w:rFonts w:hint="eastAsia"/>
                <w:color w:val="auto"/>
                <w:highlight w:val="none"/>
              </w:rPr>
              <w:t>（2）履约担保的金额：</w:t>
            </w:r>
            <w:r>
              <w:rPr>
                <w:rFonts w:hint="eastAsia" w:ascii="宋体" w:hAnsi="宋体"/>
                <w:color w:val="auto"/>
                <w:kern w:val="0"/>
                <w:szCs w:val="21"/>
                <w:highlight w:val="none"/>
                <w:u w:val="single"/>
              </w:rPr>
              <w:t>中标合同金额的10%</w:t>
            </w:r>
            <w:r>
              <w:rPr>
                <w:rFonts w:hint="eastAsia"/>
                <w:color w:val="auto"/>
                <w:highlight w:val="none"/>
              </w:rPr>
              <w:t>；</w:t>
            </w:r>
          </w:p>
          <w:p w14:paraId="30829F49">
            <w:pPr>
              <w:autoSpaceDE w:val="0"/>
              <w:autoSpaceDN w:val="0"/>
              <w:adjustRightInd w:val="0"/>
              <w:snapToGrid w:val="0"/>
              <w:spacing w:line="460" w:lineRule="exact"/>
              <w:jc w:val="left"/>
              <w:rPr>
                <w:color w:val="auto"/>
                <w:highlight w:val="none"/>
              </w:rPr>
            </w:pPr>
            <w:r>
              <w:rPr>
                <w:rFonts w:hint="eastAsia"/>
                <w:color w:val="auto"/>
                <w:highlight w:val="none"/>
              </w:rPr>
              <w:t>（3）履约担保的提交时间：比选人发出中选通知书15日内，中选人向比选人提交；若未按时提交，逾期未缴纳视为自动放弃中选资格，将没收其比选申请保证金。</w:t>
            </w:r>
          </w:p>
          <w:p w14:paraId="521CBE5C">
            <w:pPr>
              <w:autoSpaceDE w:val="0"/>
              <w:autoSpaceDN w:val="0"/>
              <w:adjustRightInd w:val="0"/>
              <w:snapToGrid w:val="0"/>
              <w:spacing w:line="460" w:lineRule="exact"/>
              <w:jc w:val="left"/>
              <w:rPr>
                <w:color w:val="auto"/>
                <w:highlight w:val="none"/>
              </w:rPr>
            </w:pPr>
            <w:r>
              <w:rPr>
                <w:rFonts w:hint="eastAsia"/>
                <w:color w:val="auto"/>
                <w:highlight w:val="none"/>
              </w:rPr>
              <w:t>（4）履约担保的期限：</w:t>
            </w:r>
            <w:r>
              <w:rPr>
                <w:rFonts w:hint="eastAsia" w:ascii="宋体" w:hAnsi="宋体" w:cs="宋体"/>
                <w:color w:val="auto"/>
                <w:kern w:val="0"/>
                <w:szCs w:val="21"/>
                <w:highlight w:val="none"/>
              </w:rPr>
              <w:t>履约担保的担保截止时间需为工程合同签订的计划竣工日期后6个月。若届时工程仍未竣工，则担保截止时间应延长至工程竣工验收合格之日止，由此增加的费用由承包人承担。</w:t>
            </w:r>
          </w:p>
          <w:p w14:paraId="68D3675F">
            <w:pPr>
              <w:autoSpaceDE w:val="0"/>
              <w:autoSpaceDN w:val="0"/>
              <w:adjustRightInd w:val="0"/>
              <w:snapToGrid w:val="0"/>
              <w:spacing w:line="460" w:lineRule="exact"/>
              <w:jc w:val="left"/>
              <w:rPr>
                <w:rFonts w:ascii="宋体" w:hAnsi="宋体" w:cs="宋体"/>
                <w:color w:val="auto"/>
                <w:kern w:val="0"/>
                <w:szCs w:val="21"/>
                <w:highlight w:val="none"/>
              </w:rPr>
            </w:pPr>
            <w:r>
              <w:rPr>
                <w:rFonts w:hint="eastAsia"/>
                <w:color w:val="auto"/>
                <w:highlight w:val="none"/>
              </w:rPr>
              <w:t>（5）履约担保的退还时间：履约担保的退还条件为承包人如约履行合同，工程竣工验收合格，承包人不存在违约行为；采用现金担保的，工程竣工验收合格后14天内无息退还；采用保函的，工程竣工验收合格后14天内退还。</w:t>
            </w:r>
          </w:p>
        </w:tc>
      </w:tr>
      <w:tr w14:paraId="6E85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6B5F3B6B">
            <w:pPr>
              <w:snapToGrid w:val="0"/>
              <w:spacing w:line="460" w:lineRule="exact"/>
              <w:jc w:val="center"/>
              <w:rPr>
                <w:rFonts w:ascii="宋体" w:hAnsi="宋体"/>
                <w:color w:val="auto"/>
                <w:kern w:val="0"/>
                <w:szCs w:val="21"/>
                <w:highlight w:val="none"/>
              </w:rPr>
            </w:pPr>
            <w:r>
              <w:rPr>
                <w:rFonts w:hint="eastAsia" w:ascii="宋体" w:hAnsi="宋体"/>
                <w:color w:val="auto"/>
                <w:kern w:val="0"/>
                <w:szCs w:val="21"/>
                <w:highlight w:val="none"/>
              </w:rPr>
              <w:t>8.1</w:t>
            </w:r>
          </w:p>
        </w:tc>
        <w:tc>
          <w:tcPr>
            <w:tcW w:w="1478" w:type="dxa"/>
            <w:tcBorders>
              <w:top w:val="single" w:color="auto" w:sz="4" w:space="0"/>
              <w:left w:val="single" w:color="auto" w:sz="4" w:space="0"/>
              <w:bottom w:val="single" w:color="auto" w:sz="4" w:space="0"/>
              <w:right w:val="single" w:color="auto" w:sz="4" w:space="0"/>
            </w:tcBorders>
            <w:vAlign w:val="center"/>
          </w:tcPr>
          <w:p w14:paraId="7986B5F0">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重新比选</w:t>
            </w:r>
          </w:p>
        </w:tc>
        <w:tc>
          <w:tcPr>
            <w:tcW w:w="7442" w:type="dxa"/>
            <w:tcBorders>
              <w:top w:val="single" w:color="auto" w:sz="4" w:space="0"/>
              <w:left w:val="single" w:color="auto" w:sz="4" w:space="0"/>
              <w:bottom w:val="single" w:color="auto" w:sz="4" w:space="0"/>
              <w:right w:val="single" w:color="auto" w:sz="4" w:space="0"/>
            </w:tcBorders>
            <w:vAlign w:val="center"/>
          </w:tcPr>
          <w:p w14:paraId="083B9B2A">
            <w:pPr>
              <w:autoSpaceDE w:val="0"/>
              <w:autoSpaceDN w:val="0"/>
              <w:adjustRightInd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有下列情形之一的，比选人将重新比选：</w:t>
            </w:r>
          </w:p>
          <w:p w14:paraId="4511DB59">
            <w:pPr>
              <w:autoSpaceDE w:val="0"/>
              <w:autoSpaceDN w:val="0"/>
              <w:adjustRightInd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（1）比选申请截止时间止，比选申请人少于 3 个的；</w:t>
            </w:r>
          </w:p>
          <w:p w14:paraId="2EFB6E93">
            <w:pPr>
              <w:autoSpaceDE w:val="0"/>
              <w:autoSpaceDN w:val="0"/>
              <w:adjustRightInd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（2）经评标委员会评审后比选申请人不足3家的，且经评标委员会认定不具竞争性的。</w:t>
            </w:r>
          </w:p>
        </w:tc>
      </w:tr>
      <w:tr w14:paraId="7C42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4F1EDEC7">
            <w:pPr>
              <w:snapToGrid w:val="0"/>
              <w:spacing w:line="460" w:lineRule="exact"/>
              <w:jc w:val="center"/>
              <w:rPr>
                <w:rFonts w:ascii="宋体" w:hAnsi="宋体"/>
                <w:color w:val="auto"/>
                <w:kern w:val="0"/>
                <w:szCs w:val="21"/>
                <w:highlight w:val="none"/>
              </w:rPr>
            </w:pPr>
            <w:r>
              <w:rPr>
                <w:rFonts w:hint="eastAsia" w:ascii="宋体" w:hAnsi="宋体"/>
                <w:color w:val="auto"/>
                <w:kern w:val="0"/>
                <w:szCs w:val="21"/>
                <w:highlight w:val="none"/>
              </w:rPr>
              <w:t>8.2</w:t>
            </w:r>
          </w:p>
        </w:tc>
        <w:tc>
          <w:tcPr>
            <w:tcW w:w="1478" w:type="dxa"/>
            <w:tcBorders>
              <w:top w:val="single" w:color="auto" w:sz="4" w:space="0"/>
              <w:left w:val="single" w:color="auto" w:sz="4" w:space="0"/>
              <w:bottom w:val="single" w:color="auto" w:sz="4" w:space="0"/>
              <w:right w:val="single" w:color="auto" w:sz="4" w:space="0"/>
            </w:tcBorders>
            <w:vAlign w:val="center"/>
          </w:tcPr>
          <w:p w14:paraId="5786560E">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重新比选和不再比选</w:t>
            </w:r>
          </w:p>
        </w:tc>
        <w:tc>
          <w:tcPr>
            <w:tcW w:w="7442" w:type="dxa"/>
            <w:tcBorders>
              <w:top w:val="single" w:color="auto" w:sz="4" w:space="0"/>
              <w:left w:val="single" w:color="auto" w:sz="4" w:space="0"/>
              <w:bottom w:val="single" w:color="auto" w:sz="4" w:space="0"/>
              <w:right w:val="single" w:color="auto" w:sz="4" w:space="0"/>
            </w:tcBorders>
            <w:vAlign w:val="center"/>
          </w:tcPr>
          <w:p w14:paraId="4D0607A4">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cs="宋体"/>
                <w:color w:val="auto"/>
                <w:kern w:val="0"/>
                <w:szCs w:val="21"/>
                <w:highlight w:val="none"/>
              </w:rPr>
              <w:t>重新比选后比选申请人少于3个，可以按法定程序开标和评标，确定中选人。经评审无合格比选申请人，属于必须审批或核准的工程建设项目，经原审批或核准部门批准后可以不再进行比选。</w:t>
            </w:r>
          </w:p>
        </w:tc>
      </w:tr>
      <w:tr w14:paraId="4B07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69" w:type="dxa"/>
            <w:tcBorders>
              <w:top w:val="single" w:color="auto" w:sz="4" w:space="0"/>
              <w:left w:val="single" w:color="auto" w:sz="4" w:space="0"/>
              <w:bottom w:val="single" w:color="auto" w:sz="4" w:space="0"/>
              <w:right w:val="single" w:color="auto" w:sz="4" w:space="0"/>
            </w:tcBorders>
            <w:vAlign w:val="center"/>
          </w:tcPr>
          <w:p w14:paraId="554EAD97">
            <w:pPr>
              <w:snapToGrid w:val="0"/>
              <w:spacing w:line="460" w:lineRule="exact"/>
              <w:jc w:val="center"/>
              <w:rPr>
                <w:rFonts w:ascii="宋体" w:hAnsi="宋体"/>
                <w:color w:val="auto"/>
                <w:kern w:val="0"/>
                <w:szCs w:val="21"/>
                <w:highlight w:val="none"/>
              </w:rPr>
            </w:pPr>
            <w:r>
              <w:rPr>
                <w:rFonts w:hint="eastAsia" w:ascii="宋体" w:hAnsi="宋体"/>
                <w:color w:val="auto"/>
                <w:kern w:val="0"/>
                <w:szCs w:val="21"/>
                <w:highlight w:val="none"/>
              </w:rPr>
              <w:t>11</w:t>
            </w:r>
          </w:p>
        </w:tc>
        <w:tc>
          <w:tcPr>
            <w:tcW w:w="8920" w:type="dxa"/>
            <w:gridSpan w:val="2"/>
            <w:tcBorders>
              <w:top w:val="single" w:color="auto" w:sz="4" w:space="0"/>
              <w:left w:val="single" w:color="auto" w:sz="4" w:space="0"/>
              <w:bottom w:val="single" w:color="auto" w:sz="4" w:space="0"/>
              <w:right w:val="single" w:color="auto" w:sz="4" w:space="0"/>
            </w:tcBorders>
            <w:vAlign w:val="center"/>
          </w:tcPr>
          <w:p w14:paraId="3418EF76">
            <w:pPr>
              <w:autoSpaceDE w:val="0"/>
              <w:autoSpaceDN w:val="0"/>
              <w:adjustRightInd w:val="0"/>
              <w:snapToGrid w:val="0"/>
              <w:spacing w:line="460" w:lineRule="exact"/>
              <w:ind w:firstLine="420"/>
              <w:jc w:val="left"/>
              <w:rPr>
                <w:rFonts w:ascii="宋体" w:hAnsi="宋体" w:cs="MingLiU"/>
                <w:snapToGrid w:val="0"/>
                <w:color w:val="auto"/>
                <w:kern w:val="0"/>
                <w:szCs w:val="21"/>
                <w:highlight w:val="none"/>
              </w:rPr>
            </w:pPr>
            <w:r>
              <w:rPr>
                <w:rFonts w:hint="eastAsia" w:ascii="宋体" w:hAnsi="宋体"/>
                <w:b/>
                <w:snapToGrid w:val="0"/>
                <w:color w:val="auto"/>
                <w:szCs w:val="21"/>
                <w:highlight w:val="none"/>
              </w:rPr>
              <w:t>需要补充的其他内容</w:t>
            </w:r>
          </w:p>
        </w:tc>
      </w:tr>
      <w:tr w14:paraId="15B2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969" w:type="dxa"/>
            <w:tcBorders>
              <w:top w:val="single" w:color="auto" w:sz="4" w:space="0"/>
              <w:left w:val="single" w:color="auto" w:sz="4" w:space="0"/>
              <w:bottom w:val="single" w:color="auto" w:sz="4" w:space="0"/>
              <w:right w:val="single" w:color="auto" w:sz="4" w:space="0"/>
            </w:tcBorders>
            <w:vAlign w:val="center"/>
          </w:tcPr>
          <w:p w14:paraId="39F807D3">
            <w:pPr>
              <w:snapToGrid w:val="0"/>
              <w:spacing w:line="460" w:lineRule="exact"/>
              <w:jc w:val="center"/>
              <w:rPr>
                <w:rFonts w:ascii="宋体" w:hAnsi="宋体"/>
                <w:color w:val="auto"/>
                <w:kern w:val="0"/>
                <w:szCs w:val="21"/>
                <w:highlight w:val="none"/>
              </w:rPr>
            </w:pPr>
            <w:r>
              <w:rPr>
                <w:rFonts w:hint="eastAsia" w:ascii="宋体" w:hAnsi="宋体"/>
                <w:color w:val="auto"/>
                <w:kern w:val="0"/>
                <w:szCs w:val="21"/>
                <w:highlight w:val="none"/>
              </w:rPr>
              <w:t>11.1</w:t>
            </w:r>
          </w:p>
        </w:tc>
        <w:tc>
          <w:tcPr>
            <w:tcW w:w="1478" w:type="dxa"/>
            <w:tcBorders>
              <w:top w:val="single" w:color="auto" w:sz="4" w:space="0"/>
              <w:left w:val="single" w:color="auto" w:sz="4" w:space="0"/>
              <w:bottom w:val="single" w:color="auto" w:sz="4" w:space="0"/>
              <w:right w:val="single" w:color="auto" w:sz="4" w:space="0"/>
            </w:tcBorders>
            <w:vAlign w:val="center"/>
          </w:tcPr>
          <w:p w14:paraId="66540CE8">
            <w:pPr>
              <w:autoSpaceDE w:val="0"/>
              <w:autoSpaceDN w:val="0"/>
              <w:adjustRightInd w:val="0"/>
              <w:spacing w:line="460" w:lineRule="exact"/>
              <w:jc w:val="center"/>
              <w:rPr>
                <w:rFonts w:ascii="宋体" w:hAnsi="宋体"/>
                <w:color w:val="auto"/>
                <w:kern w:val="0"/>
                <w:szCs w:val="21"/>
                <w:highlight w:val="none"/>
              </w:rPr>
            </w:pPr>
            <w:r>
              <w:rPr>
                <w:rFonts w:hint="eastAsia" w:ascii="宋体" w:hAnsi="宋体"/>
                <w:color w:val="auto"/>
                <w:kern w:val="0"/>
                <w:highlight w:val="none"/>
              </w:rPr>
              <w:t>中选公示</w:t>
            </w:r>
          </w:p>
        </w:tc>
        <w:tc>
          <w:tcPr>
            <w:tcW w:w="7442" w:type="dxa"/>
            <w:tcBorders>
              <w:top w:val="single" w:color="auto" w:sz="4" w:space="0"/>
              <w:left w:val="single" w:color="auto" w:sz="4" w:space="0"/>
              <w:bottom w:val="single" w:color="auto" w:sz="4" w:space="0"/>
              <w:right w:val="single" w:color="auto" w:sz="4" w:space="0"/>
            </w:tcBorders>
            <w:vAlign w:val="center"/>
          </w:tcPr>
          <w:p w14:paraId="24FB43EB">
            <w:pPr>
              <w:spacing w:line="460" w:lineRule="exact"/>
              <w:ind w:firstLine="105" w:firstLineChars="50"/>
              <w:rPr>
                <w:rFonts w:ascii="宋体" w:hAnsi="宋体"/>
                <w:color w:val="auto"/>
                <w:szCs w:val="21"/>
                <w:highlight w:val="none"/>
              </w:rPr>
            </w:pPr>
            <w:r>
              <w:rPr>
                <w:rFonts w:hint="eastAsia" w:ascii="宋体" w:hAnsi="宋体"/>
                <w:color w:val="auto"/>
                <w:highlight w:val="none"/>
              </w:rPr>
              <w:t>中</w:t>
            </w:r>
            <w:r>
              <w:rPr>
                <w:rFonts w:hint="eastAsia" w:ascii="宋体" w:hAnsi="宋体"/>
                <w:color w:val="auto"/>
                <w:kern w:val="0"/>
                <w:highlight w:val="none"/>
              </w:rPr>
              <w:t>选</w:t>
            </w:r>
            <w:r>
              <w:rPr>
                <w:rFonts w:hint="eastAsia" w:ascii="宋体" w:hAnsi="宋体"/>
                <w:color w:val="auto"/>
                <w:highlight w:val="none"/>
              </w:rPr>
              <w:t>结果将在</w:t>
            </w:r>
            <w:r>
              <w:rPr>
                <w:rFonts w:hint="eastAsia" w:ascii="宋体" w:hAnsi="宋体"/>
                <w:color w:val="auto"/>
                <w:highlight w:val="none"/>
                <w:u w:val="single"/>
                <w:lang w:eastAsia="zh-CN"/>
              </w:rPr>
              <w:t>https://www.cqjlp.com.cn/</w:t>
            </w:r>
            <w:r>
              <w:rPr>
                <w:rFonts w:hint="eastAsia" w:ascii="宋体" w:hAnsi="宋体"/>
                <w:color w:val="auto"/>
                <w:highlight w:val="none"/>
              </w:rPr>
              <w:t>公示3日历天，请各比选申请人自行查询。公示期结束没有收到在本次招投标过程中有违法行为投诉或相关质疑、或投诉质疑不成立的，比选人将按规定发出中</w:t>
            </w:r>
            <w:r>
              <w:rPr>
                <w:rFonts w:hint="eastAsia" w:ascii="宋体" w:hAnsi="宋体"/>
                <w:color w:val="auto"/>
                <w:kern w:val="0"/>
                <w:highlight w:val="none"/>
              </w:rPr>
              <w:t>选</w:t>
            </w:r>
            <w:r>
              <w:rPr>
                <w:rFonts w:hint="eastAsia" w:ascii="宋体" w:hAnsi="宋体"/>
                <w:color w:val="auto"/>
                <w:highlight w:val="none"/>
              </w:rPr>
              <w:t>通知书。</w:t>
            </w:r>
          </w:p>
        </w:tc>
      </w:tr>
      <w:tr w14:paraId="3312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5892947D">
            <w:pPr>
              <w:snapToGrid w:val="0"/>
              <w:spacing w:line="460" w:lineRule="exact"/>
              <w:jc w:val="center"/>
              <w:rPr>
                <w:rFonts w:ascii="宋体" w:hAnsi="宋体"/>
                <w:color w:val="auto"/>
                <w:kern w:val="0"/>
                <w:szCs w:val="21"/>
                <w:highlight w:val="none"/>
              </w:rPr>
            </w:pPr>
            <w:r>
              <w:rPr>
                <w:rFonts w:hint="eastAsia" w:ascii="宋体" w:hAnsi="宋体"/>
                <w:color w:val="auto"/>
                <w:kern w:val="0"/>
                <w:szCs w:val="21"/>
                <w:highlight w:val="none"/>
              </w:rPr>
              <w:t>11.2</w:t>
            </w:r>
          </w:p>
        </w:tc>
        <w:tc>
          <w:tcPr>
            <w:tcW w:w="1478" w:type="dxa"/>
            <w:tcBorders>
              <w:top w:val="single" w:color="auto" w:sz="4" w:space="0"/>
              <w:left w:val="single" w:color="auto" w:sz="4" w:space="0"/>
              <w:bottom w:val="single" w:color="auto" w:sz="4" w:space="0"/>
              <w:right w:val="single" w:color="auto" w:sz="4" w:space="0"/>
            </w:tcBorders>
            <w:vAlign w:val="center"/>
          </w:tcPr>
          <w:p w14:paraId="339F8395">
            <w:pPr>
              <w:autoSpaceDE w:val="0"/>
              <w:autoSpaceDN w:val="0"/>
              <w:adjustRightInd w:val="0"/>
              <w:spacing w:line="460" w:lineRule="exact"/>
              <w:jc w:val="center"/>
              <w:rPr>
                <w:rFonts w:ascii="宋体" w:hAnsi="宋体"/>
                <w:color w:val="auto"/>
                <w:kern w:val="0"/>
                <w:szCs w:val="21"/>
                <w:highlight w:val="none"/>
              </w:rPr>
            </w:pPr>
            <w:r>
              <w:rPr>
                <w:rFonts w:hint="eastAsia" w:ascii="宋体" w:hAnsi="宋体"/>
                <w:color w:val="auto"/>
                <w:kern w:val="0"/>
                <w:highlight w:val="none"/>
              </w:rPr>
              <w:t>比选申请人提供虚假资料</w:t>
            </w:r>
          </w:p>
        </w:tc>
        <w:tc>
          <w:tcPr>
            <w:tcW w:w="7442" w:type="dxa"/>
            <w:tcBorders>
              <w:top w:val="single" w:color="auto" w:sz="4" w:space="0"/>
              <w:left w:val="single" w:color="auto" w:sz="4" w:space="0"/>
              <w:bottom w:val="single" w:color="auto" w:sz="4" w:space="0"/>
              <w:right w:val="single" w:color="auto" w:sz="4" w:space="0"/>
            </w:tcBorders>
            <w:vAlign w:val="center"/>
          </w:tcPr>
          <w:p w14:paraId="7406DF1E">
            <w:pPr>
              <w:spacing w:line="460" w:lineRule="exact"/>
              <w:ind w:firstLine="105" w:firstLineChars="50"/>
              <w:rPr>
                <w:rFonts w:ascii="宋体" w:hAnsi="宋体"/>
                <w:color w:val="auto"/>
                <w:szCs w:val="21"/>
                <w:highlight w:val="none"/>
              </w:rPr>
            </w:pPr>
            <w:r>
              <w:rPr>
                <w:rFonts w:hint="eastAsia" w:ascii="宋体" w:hAnsi="宋体"/>
                <w:color w:val="auto"/>
                <w:highlight w:val="none"/>
              </w:rPr>
              <w:t>比选申请人须按比选文件要求提交与资格审查有关的资料，且提交的资格审查资料应真实、可靠，比选人可通过多种方式予以核查，发现提供虚假资料或业绩的，比选申请无效；已经中</w:t>
            </w:r>
            <w:r>
              <w:rPr>
                <w:rFonts w:hint="eastAsia" w:ascii="宋体" w:hAnsi="宋体"/>
                <w:color w:val="auto"/>
                <w:kern w:val="0"/>
                <w:highlight w:val="none"/>
              </w:rPr>
              <w:t>选</w:t>
            </w:r>
            <w:r>
              <w:rPr>
                <w:rFonts w:hint="eastAsia" w:ascii="宋体" w:hAnsi="宋体"/>
                <w:color w:val="auto"/>
                <w:highlight w:val="none"/>
              </w:rPr>
              <w:t>的，中</w:t>
            </w:r>
            <w:r>
              <w:rPr>
                <w:rFonts w:hint="eastAsia" w:ascii="宋体" w:hAnsi="宋体"/>
                <w:color w:val="auto"/>
                <w:kern w:val="0"/>
                <w:highlight w:val="none"/>
              </w:rPr>
              <w:t>选</w:t>
            </w:r>
            <w:r>
              <w:rPr>
                <w:rFonts w:hint="eastAsia" w:ascii="宋体" w:hAnsi="宋体"/>
                <w:color w:val="auto"/>
                <w:highlight w:val="none"/>
              </w:rPr>
              <w:t>无效；给比选人造成经济损失的，依法承担赔偿责任。</w:t>
            </w:r>
          </w:p>
        </w:tc>
      </w:tr>
      <w:tr w14:paraId="7320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17FC23DF">
            <w:pPr>
              <w:snapToGrid w:val="0"/>
              <w:spacing w:line="460" w:lineRule="exact"/>
              <w:jc w:val="center"/>
              <w:rPr>
                <w:rFonts w:ascii="宋体" w:hAnsi="宋体"/>
                <w:color w:val="auto"/>
                <w:kern w:val="0"/>
                <w:szCs w:val="21"/>
                <w:highlight w:val="none"/>
              </w:rPr>
            </w:pPr>
            <w:r>
              <w:rPr>
                <w:rFonts w:hint="eastAsia" w:ascii="宋体" w:hAnsi="宋体"/>
                <w:color w:val="auto"/>
                <w:kern w:val="0"/>
                <w:szCs w:val="21"/>
                <w:highlight w:val="none"/>
              </w:rPr>
              <w:t>11.3</w:t>
            </w:r>
          </w:p>
        </w:tc>
        <w:tc>
          <w:tcPr>
            <w:tcW w:w="1478" w:type="dxa"/>
            <w:tcBorders>
              <w:top w:val="single" w:color="auto" w:sz="4" w:space="0"/>
              <w:left w:val="single" w:color="auto" w:sz="4" w:space="0"/>
              <w:bottom w:val="single" w:color="auto" w:sz="4" w:space="0"/>
              <w:right w:val="single" w:color="auto" w:sz="4" w:space="0"/>
            </w:tcBorders>
            <w:vAlign w:val="center"/>
          </w:tcPr>
          <w:p w14:paraId="69D02F26">
            <w:pPr>
              <w:autoSpaceDE w:val="0"/>
              <w:autoSpaceDN w:val="0"/>
              <w:adjustRightInd w:val="0"/>
              <w:snapToGrid w:val="0"/>
              <w:spacing w:line="460" w:lineRule="exact"/>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付款办法</w:t>
            </w:r>
          </w:p>
        </w:tc>
        <w:tc>
          <w:tcPr>
            <w:tcW w:w="7442" w:type="dxa"/>
            <w:tcBorders>
              <w:top w:val="single" w:color="auto" w:sz="4" w:space="0"/>
              <w:left w:val="single" w:color="auto" w:sz="4" w:space="0"/>
              <w:bottom w:val="single" w:color="auto" w:sz="4" w:space="0"/>
              <w:right w:val="single" w:color="auto" w:sz="4" w:space="0"/>
            </w:tcBorders>
            <w:vAlign w:val="center"/>
          </w:tcPr>
          <w:p w14:paraId="263A66EA">
            <w:pPr>
              <w:numPr>
                <w:ilvl w:val="0"/>
                <w:numId w:val="2"/>
              </w:num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本工程无预付款。</w:t>
            </w:r>
          </w:p>
          <w:p w14:paraId="6B711C3A">
            <w:pPr>
              <w:autoSpaceDE w:val="0"/>
              <w:autoSpaceDN w:val="0"/>
              <w:adjustRightInd w:val="0"/>
              <w:snapToGrid w:val="0"/>
              <w:spacing w:line="460" w:lineRule="exact"/>
              <w:jc w:val="left"/>
              <w:rPr>
                <w:rFonts w:ascii="宋体" w:hAnsi="宋体" w:cs="宋体"/>
                <w:color w:val="auto"/>
                <w:kern w:val="0"/>
                <w:szCs w:val="21"/>
                <w:highlight w:val="none"/>
              </w:rPr>
            </w:pPr>
            <w:r>
              <w:rPr>
                <w:rFonts w:hint="eastAsia" w:ascii="宋体" w:hAnsi="宋体"/>
                <w:snapToGrid w:val="0"/>
                <w:color w:val="auto"/>
                <w:kern w:val="0"/>
                <w:szCs w:val="21"/>
                <w:highlight w:val="none"/>
              </w:rPr>
              <w:t>（2）</w:t>
            </w:r>
            <w:r>
              <w:rPr>
                <w:rFonts w:hint="eastAsia" w:ascii="宋体" w:hAnsi="宋体" w:cs="宋体"/>
                <w:color w:val="auto"/>
                <w:kern w:val="0"/>
                <w:szCs w:val="21"/>
                <w:highlight w:val="none"/>
              </w:rPr>
              <w:t>施工款支付：工程竣工验收合格后，发包人向承包人支付至合同金额的80%；完成结算审核后，发包人向承包人支付至结算审定金额的 97%；缺陷责任期满后发包人向承包人退还质量保证金（无息）。</w:t>
            </w:r>
          </w:p>
          <w:p w14:paraId="1CAD7BBB">
            <w:pPr>
              <w:autoSpaceDE w:val="0"/>
              <w:autoSpaceDN w:val="0"/>
              <w:adjustRightInd w:val="0"/>
              <w:snapToGrid w:val="0"/>
              <w:spacing w:line="460" w:lineRule="exact"/>
              <w:ind w:firstLine="420" w:firstLineChars="200"/>
              <w:jc w:val="left"/>
              <w:rPr>
                <w:color w:val="auto"/>
                <w:highlight w:val="none"/>
              </w:rPr>
            </w:pPr>
            <w:r>
              <w:rPr>
                <w:rFonts w:hint="eastAsia" w:ascii="宋体" w:hAnsi="宋体" w:cs="宋体"/>
                <w:color w:val="auto"/>
                <w:kern w:val="0"/>
                <w:szCs w:val="21"/>
                <w:highlight w:val="none"/>
              </w:rPr>
              <w:t>所有付款均需承包人出具相应增值税发票后进行支付，否则发包人有权顺延付款期限。</w:t>
            </w:r>
          </w:p>
        </w:tc>
      </w:tr>
      <w:tr w14:paraId="5033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7115ECBC">
            <w:pPr>
              <w:snapToGrid w:val="0"/>
              <w:spacing w:line="460" w:lineRule="exact"/>
              <w:jc w:val="center"/>
              <w:rPr>
                <w:rFonts w:ascii="宋体" w:hAnsi="Courier New" w:cs="宋体"/>
                <w:bCs/>
                <w:color w:val="auto"/>
                <w:kern w:val="0"/>
                <w:sz w:val="20"/>
                <w:szCs w:val="21"/>
                <w:highlight w:val="none"/>
              </w:rPr>
            </w:pPr>
            <w:r>
              <w:rPr>
                <w:rFonts w:hint="eastAsia" w:ascii="宋体" w:hAnsi="Courier New" w:cs="宋体"/>
                <w:bCs/>
                <w:color w:val="auto"/>
                <w:kern w:val="0"/>
                <w:sz w:val="20"/>
                <w:szCs w:val="21"/>
                <w:highlight w:val="none"/>
              </w:rPr>
              <w:t>11.4</w:t>
            </w:r>
          </w:p>
        </w:tc>
        <w:tc>
          <w:tcPr>
            <w:tcW w:w="1478" w:type="dxa"/>
            <w:tcBorders>
              <w:top w:val="single" w:color="auto" w:sz="4" w:space="0"/>
              <w:left w:val="single" w:color="auto" w:sz="4" w:space="0"/>
              <w:bottom w:val="single" w:color="auto" w:sz="4" w:space="0"/>
              <w:right w:val="single" w:color="auto" w:sz="4" w:space="0"/>
            </w:tcBorders>
            <w:vAlign w:val="center"/>
          </w:tcPr>
          <w:p w14:paraId="0EECBA51">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特别说明</w:t>
            </w:r>
          </w:p>
        </w:tc>
        <w:tc>
          <w:tcPr>
            <w:tcW w:w="7442" w:type="dxa"/>
            <w:tcBorders>
              <w:top w:val="single" w:color="auto" w:sz="4" w:space="0"/>
              <w:left w:val="single" w:color="auto" w:sz="4" w:space="0"/>
              <w:bottom w:val="single" w:color="auto" w:sz="4" w:space="0"/>
              <w:right w:val="single" w:color="auto" w:sz="4" w:space="0"/>
            </w:tcBorders>
            <w:vAlign w:val="center"/>
          </w:tcPr>
          <w:p w14:paraId="454129D8">
            <w:pPr>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各比选申请人缴纳了比选申请保证金、递交了比选申请文件、参加了比选申请，即视为已对本项目比选文件的所有实质性内容全部知晓。</w:t>
            </w:r>
          </w:p>
        </w:tc>
      </w:tr>
      <w:tr w14:paraId="5204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1F8C71EB">
            <w:pPr>
              <w:snapToGrid w:val="0"/>
              <w:spacing w:line="460" w:lineRule="exact"/>
              <w:jc w:val="center"/>
              <w:rPr>
                <w:rFonts w:ascii="宋体" w:hAnsi="Courier New" w:cs="宋体"/>
                <w:bCs/>
                <w:color w:val="auto"/>
                <w:kern w:val="0"/>
                <w:sz w:val="20"/>
                <w:szCs w:val="21"/>
                <w:highlight w:val="none"/>
              </w:rPr>
            </w:pPr>
            <w:r>
              <w:rPr>
                <w:rFonts w:hint="eastAsia" w:ascii="宋体" w:hAnsi="Courier New" w:cs="宋体"/>
                <w:bCs/>
                <w:color w:val="auto"/>
                <w:kern w:val="0"/>
                <w:sz w:val="20"/>
                <w:szCs w:val="21"/>
                <w:highlight w:val="none"/>
              </w:rPr>
              <w:t>11.5</w:t>
            </w:r>
          </w:p>
        </w:tc>
        <w:tc>
          <w:tcPr>
            <w:tcW w:w="1478" w:type="dxa"/>
            <w:tcBorders>
              <w:top w:val="single" w:color="auto" w:sz="4" w:space="0"/>
              <w:left w:val="single" w:color="auto" w:sz="4" w:space="0"/>
              <w:bottom w:val="single" w:color="auto" w:sz="4" w:space="0"/>
              <w:right w:val="single" w:color="auto" w:sz="4" w:space="0"/>
            </w:tcBorders>
            <w:vAlign w:val="center"/>
          </w:tcPr>
          <w:p w14:paraId="20777886">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比选说明</w:t>
            </w:r>
          </w:p>
        </w:tc>
        <w:tc>
          <w:tcPr>
            <w:tcW w:w="7442" w:type="dxa"/>
            <w:tcBorders>
              <w:top w:val="single" w:color="auto" w:sz="4" w:space="0"/>
              <w:left w:val="single" w:color="auto" w:sz="4" w:space="0"/>
              <w:bottom w:val="single" w:color="auto" w:sz="4" w:space="0"/>
              <w:right w:val="single" w:color="auto" w:sz="4" w:space="0"/>
            </w:tcBorders>
            <w:vAlign w:val="center"/>
          </w:tcPr>
          <w:p w14:paraId="12A7F8F4">
            <w:pPr>
              <w:autoSpaceDE w:val="0"/>
              <w:autoSpaceDN w:val="0"/>
              <w:adjustRightInd w:val="0"/>
              <w:snapToGrid w:val="0"/>
              <w:spacing w:line="460" w:lineRule="exact"/>
              <w:ind w:firstLine="210" w:firstLineChars="1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如比选申请人出现以下情况，比选代理公司将现场退还其比选申请文件：</w:t>
            </w:r>
          </w:p>
          <w:p w14:paraId="35087B0B">
            <w:pPr>
              <w:autoSpaceDE w:val="0"/>
              <w:autoSpaceDN w:val="0"/>
              <w:adjustRightInd w:val="0"/>
              <w:snapToGrid w:val="0"/>
              <w:spacing w:line="460" w:lineRule="exact"/>
              <w:ind w:firstLine="210" w:firstLineChars="1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（1）比选申请人的比选申请文件袋发生错装、漏装的；</w:t>
            </w:r>
          </w:p>
          <w:p w14:paraId="796EE0C1">
            <w:pPr>
              <w:widowControl/>
              <w:autoSpaceDE w:val="0"/>
              <w:autoSpaceDN w:val="0"/>
              <w:adjustRightInd w:val="0"/>
              <w:snapToGrid w:val="0"/>
              <w:spacing w:line="460" w:lineRule="exact"/>
              <w:ind w:firstLine="210" w:firstLineChars="1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（2）手持的法定代表人身份证明书和授权委托书不符合比选文件要求的。</w:t>
            </w:r>
          </w:p>
        </w:tc>
      </w:tr>
      <w:tr w14:paraId="4F27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016FC79F">
            <w:pPr>
              <w:snapToGrid w:val="0"/>
              <w:spacing w:line="460" w:lineRule="exact"/>
              <w:jc w:val="center"/>
              <w:rPr>
                <w:rFonts w:ascii="宋体" w:hAnsi="Courier New" w:cs="宋体"/>
                <w:bCs/>
                <w:color w:val="auto"/>
                <w:kern w:val="0"/>
                <w:sz w:val="20"/>
                <w:szCs w:val="21"/>
                <w:highlight w:val="none"/>
              </w:rPr>
            </w:pPr>
            <w:bookmarkStart w:id="109" w:name="_Toc329933591"/>
            <w:bookmarkStart w:id="110" w:name="_Toc381870071"/>
            <w:r>
              <w:rPr>
                <w:rFonts w:hint="eastAsia" w:ascii="宋体" w:hAnsi="Courier New" w:cs="宋体"/>
                <w:bCs/>
                <w:color w:val="auto"/>
                <w:kern w:val="0"/>
                <w:sz w:val="20"/>
                <w:szCs w:val="21"/>
                <w:highlight w:val="none"/>
              </w:rPr>
              <w:t>11.6</w:t>
            </w:r>
          </w:p>
        </w:tc>
        <w:tc>
          <w:tcPr>
            <w:tcW w:w="1478" w:type="dxa"/>
            <w:tcBorders>
              <w:top w:val="single" w:color="auto" w:sz="4" w:space="0"/>
              <w:left w:val="single" w:color="auto" w:sz="4" w:space="0"/>
              <w:bottom w:val="single" w:color="auto" w:sz="4" w:space="0"/>
              <w:right w:val="single" w:color="auto" w:sz="4" w:space="0"/>
            </w:tcBorders>
            <w:vAlign w:val="center"/>
          </w:tcPr>
          <w:p w14:paraId="427B151E">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其他</w:t>
            </w:r>
          </w:p>
        </w:tc>
        <w:tc>
          <w:tcPr>
            <w:tcW w:w="7442" w:type="dxa"/>
            <w:tcBorders>
              <w:top w:val="single" w:color="auto" w:sz="4" w:space="0"/>
              <w:left w:val="single" w:color="auto" w:sz="4" w:space="0"/>
              <w:bottom w:val="single" w:color="auto" w:sz="4" w:space="0"/>
              <w:right w:val="single" w:color="auto" w:sz="4" w:space="0"/>
            </w:tcBorders>
            <w:vAlign w:val="center"/>
          </w:tcPr>
          <w:p w14:paraId="499EB6D4">
            <w:pPr>
              <w:adjustRightInd w:val="0"/>
              <w:snapToGrid w:val="0"/>
              <w:spacing w:line="460" w:lineRule="exact"/>
              <w:ind w:firstLine="420" w:firstLineChars="200"/>
              <w:rPr>
                <w:rFonts w:ascii="宋体" w:hAnsi="宋体"/>
                <w:snapToGrid w:val="0"/>
                <w:color w:val="auto"/>
                <w:kern w:val="0"/>
                <w:szCs w:val="21"/>
                <w:highlight w:val="none"/>
              </w:rPr>
            </w:pPr>
            <w:r>
              <w:rPr>
                <w:rFonts w:hint="eastAsia"/>
                <w:color w:val="auto"/>
                <w:highlight w:val="none"/>
              </w:rPr>
              <w:t>招标代理服务费：</w:t>
            </w:r>
            <w:r>
              <w:rPr>
                <w:rFonts w:hint="eastAsia" w:ascii="宋体" w:hAnsi="宋体"/>
                <w:iCs/>
                <w:color w:val="auto"/>
                <w:kern w:val="0"/>
                <w:szCs w:val="21"/>
                <w:highlight w:val="none"/>
              </w:rPr>
              <w:t>招标代理服务费以中标金额为基数，按（计价格〔2002〕1980号）的</w:t>
            </w:r>
            <w:r>
              <w:rPr>
                <w:rFonts w:hint="eastAsia" w:ascii="宋体" w:hAnsi="宋体"/>
                <w:iCs/>
                <w:color w:val="auto"/>
                <w:kern w:val="0"/>
                <w:szCs w:val="21"/>
                <w:highlight w:val="none"/>
                <w:lang w:val="en-US" w:eastAsia="zh-CN"/>
              </w:rPr>
              <w:t>75</w:t>
            </w:r>
            <w:r>
              <w:rPr>
                <w:rFonts w:hint="eastAsia" w:ascii="宋体" w:hAnsi="宋体"/>
                <w:iCs/>
                <w:color w:val="auto"/>
                <w:kern w:val="0"/>
                <w:szCs w:val="21"/>
                <w:highlight w:val="none"/>
              </w:rPr>
              <w:t>%计取。</w:t>
            </w:r>
            <w:r>
              <w:rPr>
                <w:rFonts w:hint="eastAsia"/>
                <w:color w:val="auto"/>
                <w:highlight w:val="none"/>
              </w:rPr>
              <w:t>由中标人领取中标通知书前，向招标代理机构缴纳。该费用由比选申请人自行考虑计入比选申请报价中，中标后比选人不再另行支付。</w:t>
            </w:r>
          </w:p>
        </w:tc>
      </w:tr>
      <w:tr w14:paraId="5F8C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vAlign w:val="center"/>
          </w:tcPr>
          <w:p w14:paraId="385AC402">
            <w:pPr>
              <w:snapToGrid w:val="0"/>
              <w:spacing w:line="460" w:lineRule="exact"/>
              <w:jc w:val="center"/>
              <w:rPr>
                <w:rFonts w:ascii="宋体" w:hAnsi="Courier New" w:cs="宋体"/>
                <w:bCs/>
                <w:color w:val="auto"/>
                <w:kern w:val="0"/>
                <w:sz w:val="20"/>
                <w:szCs w:val="21"/>
                <w:highlight w:val="none"/>
              </w:rPr>
            </w:pPr>
            <w:r>
              <w:rPr>
                <w:rFonts w:hint="eastAsia" w:ascii="宋体" w:hAnsi="Courier New" w:cs="宋体"/>
                <w:bCs/>
                <w:color w:val="auto"/>
                <w:kern w:val="0"/>
                <w:sz w:val="20"/>
                <w:szCs w:val="21"/>
                <w:highlight w:val="none"/>
              </w:rPr>
              <w:t>11.7</w:t>
            </w:r>
          </w:p>
        </w:tc>
        <w:tc>
          <w:tcPr>
            <w:tcW w:w="1478" w:type="dxa"/>
            <w:tcBorders>
              <w:top w:val="single" w:color="auto" w:sz="4" w:space="0"/>
              <w:left w:val="single" w:color="auto" w:sz="4" w:space="0"/>
              <w:bottom w:val="single" w:color="auto" w:sz="4" w:space="0"/>
              <w:right w:val="single" w:color="auto" w:sz="4" w:space="0"/>
            </w:tcBorders>
            <w:vAlign w:val="center"/>
          </w:tcPr>
          <w:p w14:paraId="0FFAE822">
            <w:pPr>
              <w:autoSpaceDE w:val="0"/>
              <w:autoSpaceDN w:val="0"/>
              <w:adjustRightInd w:val="0"/>
              <w:snapToGrid w:val="0"/>
              <w:spacing w:line="46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名词解释</w:t>
            </w:r>
          </w:p>
        </w:tc>
        <w:tc>
          <w:tcPr>
            <w:tcW w:w="7442" w:type="dxa"/>
            <w:tcBorders>
              <w:top w:val="single" w:color="auto" w:sz="4" w:space="0"/>
              <w:left w:val="single" w:color="auto" w:sz="4" w:space="0"/>
              <w:bottom w:val="single" w:color="auto" w:sz="4" w:space="0"/>
              <w:right w:val="single" w:color="auto" w:sz="4" w:space="0"/>
            </w:tcBorders>
            <w:vAlign w:val="center"/>
          </w:tcPr>
          <w:p w14:paraId="5A03763E">
            <w:pPr>
              <w:pStyle w:val="2"/>
              <w:spacing w:after="0" w:line="46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因本项目采用的是公开竞争性比选，所以比选文件中的有关名词等同于下列但不限于以下名词解释：</w:t>
            </w:r>
          </w:p>
          <w:p w14:paraId="327762AE">
            <w:pPr>
              <w:pStyle w:val="2"/>
              <w:spacing w:after="0" w:line="460" w:lineRule="exact"/>
              <w:rPr>
                <w:color w:val="auto"/>
                <w:highlight w:val="none"/>
              </w:rPr>
            </w:pPr>
            <w:r>
              <w:rPr>
                <w:rFonts w:hint="eastAsia" w:ascii="宋体" w:hAnsi="宋体" w:cs="宋体"/>
                <w:color w:val="auto"/>
                <w:kern w:val="0"/>
                <w:szCs w:val="21"/>
                <w:highlight w:val="none"/>
                <w:lang w:bidi="ar"/>
              </w:rPr>
              <w:t>投标函=比选申请函 招标文件=比选文件 中标通知书=中选通知书 招标人=比选人 投标人=比选申请人</w:t>
            </w:r>
          </w:p>
        </w:tc>
      </w:tr>
    </w:tbl>
    <w:p w14:paraId="5090B6DF">
      <w:pPr>
        <w:rPr>
          <w:color w:val="auto"/>
          <w:highlight w:val="none"/>
        </w:rPr>
      </w:pPr>
      <w:r>
        <w:rPr>
          <w:rFonts w:hint="eastAsia"/>
          <w:color w:val="auto"/>
          <w:highlight w:val="none"/>
        </w:rPr>
        <w:t>注明：当发出的比选文件相关内容与比选申请人须知前附表不一致时，以比选申请人须知前附表内容为准。</w:t>
      </w:r>
      <w:bookmarkEnd w:id="109"/>
      <w:bookmarkEnd w:id="110"/>
      <w:bookmarkStart w:id="111" w:name="_Toc21555"/>
      <w:bookmarkStart w:id="112" w:name="_Toc24204"/>
      <w:bookmarkStart w:id="113" w:name="_Toc493602402"/>
      <w:bookmarkStart w:id="114" w:name="_Toc16000378"/>
    </w:p>
    <w:p w14:paraId="13E802C9">
      <w:pPr>
        <w:pStyle w:val="2"/>
        <w:rPr>
          <w:color w:val="auto"/>
          <w:highlight w:val="none"/>
        </w:rPr>
      </w:pPr>
    </w:p>
    <w:p w14:paraId="1BEA4CCF">
      <w:pPr>
        <w:rPr>
          <w:color w:val="auto"/>
          <w:highlight w:val="none"/>
        </w:rPr>
      </w:pPr>
    </w:p>
    <w:p w14:paraId="6478B8D5">
      <w:pPr>
        <w:pStyle w:val="2"/>
        <w:rPr>
          <w:color w:val="auto"/>
          <w:highlight w:val="none"/>
        </w:rPr>
      </w:pPr>
    </w:p>
    <w:p w14:paraId="376C370F">
      <w:pPr>
        <w:rPr>
          <w:color w:val="auto"/>
          <w:highlight w:val="none"/>
        </w:rPr>
      </w:pPr>
    </w:p>
    <w:p w14:paraId="7A79098C">
      <w:pPr>
        <w:rPr>
          <w:rFonts w:hint="eastAsia" w:ascii="宋体" w:hAnsi="宋体"/>
          <w:snapToGrid w:val="0"/>
          <w:color w:val="auto"/>
          <w:highlight w:val="none"/>
        </w:rPr>
      </w:pPr>
      <w:bookmarkStart w:id="115" w:name="_Toc17836"/>
      <w:r>
        <w:rPr>
          <w:rFonts w:hint="eastAsia" w:ascii="宋体" w:hAnsi="宋体"/>
          <w:snapToGrid w:val="0"/>
          <w:color w:val="auto"/>
          <w:highlight w:val="none"/>
        </w:rPr>
        <w:br w:type="page"/>
      </w:r>
    </w:p>
    <w:p w14:paraId="66942DE4">
      <w:pPr>
        <w:pStyle w:val="4"/>
        <w:rPr>
          <w:rFonts w:ascii="宋体" w:hAnsi="宋体"/>
          <w:snapToGrid w:val="0"/>
          <w:color w:val="auto"/>
          <w:highlight w:val="none"/>
        </w:rPr>
      </w:pPr>
      <w:r>
        <w:rPr>
          <w:rFonts w:hint="eastAsia" w:ascii="宋体" w:hAnsi="宋体"/>
          <w:snapToGrid w:val="0"/>
          <w:color w:val="auto"/>
          <w:highlight w:val="none"/>
        </w:rPr>
        <w:t>1.  总则</w:t>
      </w:r>
      <w:bookmarkEnd w:id="111"/>
      <w:bookmarkEnd w:id="112"/>
      <w:bookmarkEnd w:id="113"/>
      <w:bookmarkEnd w:id="114"/>
      <w:bookmarkEnd w:id="115"/>
    </w:p>
    <w:p w14:paraId="5F8881A0">
      <w:pPr>
        <w:pStyle w:val="5"/>
        <w:snapToGrid w:val="0"/>
        <w:spacing w:line="360" w:lineRule="auto"/>
        <w:rPr>
          <w:rFonts w:ascii="宋体" w:hAnsi="宋体"/>
          <w:snapToGrid w:val="0"/>
          <w:color w:val="auto"/>
          <w:highlight w:val="none"/>
        </w:rPr>
      </w:pPr>
      <w:bookmarkStart w:id="116" w:name="_Toc287607747"/>
      <w:bookmarkStart w:id="117" w:name="_Toc200513127"/>
      <w:bookmarkStart w:id="118" w:name="_Toc16000379"/>
      <w:bookmarkStart w:id="119" w:name="_Toc493602403"/>
      <w:bookmarkStart w:id="120" w:name="_Toc15350"/>
      <w:bookmarkStart w:id="121" w:name="_Toc10940"/>
      <w:bookmarkStart w:id="122" w:name="_Toc277082553"/>
      <w:bookmarkStart w:id="123" w:name="_Toc27575"/>
      <w:bookmarkStart w:id="124" w:name="_Toc224103318"/>
      <w:bookmarkStart w:id="125" w:name="_Toc483489672"/>
      <w:bookmarkStart w:id="126" w:name="_Toc30841"/>
      <w:r>
        <w:rPr>
          <w:rFonts w:hint="eastAsia" w:ascii="宋体" w:hAnsi="宋体"/>
          <w:snapToGrid w:val="0"/>
          <w:color w:val="auto"/>
          <w:highlight w:val="none"/>
        </w:rPr>
        <w:t>1.1  项目概况</w:t>
      </w:r>
      <w:bookmarkEnd w:id="116"/>
      <w:bookmarkEnd w:id="117"/>
      <w:bookmarkEnd w:id="118"/>
      <w:bookmarkEnd w:id="119"/>
      <w:bookmarkEnd w:id="120"/>
      <w:bookmarkEnd w:id="121"/>
      <w:bookmarkEnd w:id="122"/>
      <w:bookmarkEnd w:id="123"/>
      <w:bookmarkEnd w:id="124"/>
      <w:bookmarkEnd w:id="125"/>
      <w:bookmarkEnd w:id="126"/>
    </w:p>
    <w:p w14:paraId="52FFD4B3">
      <w:pPr>
        <w:autoSpaceDE w:val="0"/>
        <w:autoSpaceDN w:val="0"/>
        <w:adjustRightInd w:val="0"/>
        <w:snapToGrid w:val="0"/>
        <w:spacing w:line="360" w:lineRule="auto"/>
        <w:ind w:firstLine="357" w:firstLineChars="17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1.1.1  根据《中华人民共和国招标投标法》等有关法律、法规和规章的规定，本比选项目已具备比选条件，现对本标段施工进行比选。</w:t>
      </w:r>
    </w:p>
    <w:p w14:paraId="49F861AD">
      <w:pPr>
        <w:autoSpaceDE w:val="0"/>
        <w:autoSpaceDN w:val="0"/>
        <w:adjustRightInd w:val="0"/>
        <w:snapToGrid w:val="0"/>
        <w:spacing w:line="360" w:lineRule="auto"/>
        <w:ind w:firstLine="357" w:firstLineChars="17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1.1.2  本比选项目比选人：见比选申请人须知前附表。</w:t>
      </w:r>
    </w:p>
    <w:p w14:paraId="49DB237D">
      <w:pPr>
        <w:autoSpaceDE w:val="0"/>
        <w:autoSpaceDN w:val="0"/>
        <w:adjustRightInd w:val="0"/>
        <w:snapToGrid w:val="0"/>
        <w:spacing w:line="360" w:lineRule="auto"/>
        <w:ind w:left="359" w:leftChars="171"/>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1.1.3  </w:t>
      </w:r>
      <w:r>
        <w:rPr>
          <w:rFonts w:hint="eastAsia" w:ascii="宋体" w:hAnsi="宋体" w:cs="MingLiU"/>
          <w:snapToGrid w:val="0"/>
          <w:color w:val="auto"/>
          <w:kern w:val="0"/>
          <w:szCs w:val="21"/>
          <w:highlight w:val="none"/>
        </w:rPr>
        <w:t>本标段比选代理机构：见比选申请人须知前附表。</w:t>
      </w:r>
    </w:p>
    <w:p w14:paraId="1B13C0B9">
      <w:pPr>
        <w:autoSpaceDE w:val="0"/>
        <w:autoSpaceDN w:val="0"/>
        <w:adjustRightInd w:val="0"/>
        <w:snapToGrid w:val="0"/>
        <w:spacing w:line="360" w:lineRule="auto"/>
        <w:ind w:left="359" w:leftChars="171"/>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1.1.4  监督机构：</w:t>
      </w:r>
      <w:r>
        <w:rPr>
          <w:rFonts w:hint="eastAsia" w:ascii="宋体" w:hAnsi="宋体" w:cs="MingLiU"/>
          <w:snapToGrid w:val="0"/>
          <w:color w:val="auto"/>
          <w:kern w:val="0"/>
          <w:szCs w:val="21"/>
          <w:highlight w:val="none"/>
        </w:rPr>
        <w:t>见比选申请人须知前附表。</w:t>
      </w:r>
    </w:p>
    <w:p w14:paraId="3D20F2B2">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1.1.5 </w:t>
      </w:r>
      <w:r>
        <w:rPr>
          <w:rFonts w:hint="eastAsia" w:ascii="宋体" w:hAnsi="宋体" w:cs="MingLiU"/>
          <w:snapToGrid w:val="0"/>
          <w:color w:val="auto"/>
          <w:kern w:val="0"/>
          <w:szCs w:val="21"/>
          <w:highlight w:val="none"/>
        </w:rPr>
        <w:t>本比选项目名称：见比选申请人须知前附表。</w:t>
      </w:r>
    </w:p>
    <w:p w14:paraId="3351BB86">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1.1.6 </w:t>
      </w:r>
      <w:r>
        <w:rPr>
          <w:rFonts w:hint="eastAsia" w:ascii="宋体" w:hAnsi="宋体" w:cs="MingLiU"/>
          <w:snapToGrid w:val="0"/>
          <w:color w:val="auto"/>
          <w:kern w:val="0"/>
          <w:szCs w:val="21"/>
          <w:highlight w:val="none"/>
        </w:rPr>
        <w:t>本标段建设地点：见比选申请人须知前附表。</w:t>
      </w:r>
    </w:p>
    <w:p w14:paraId="7E72C141">
      <w:pPr>
        <w:pStyle w:val="5"/>
        <w:snapToGrid w:val="0"/>
        <w:spacing w:line="360" w:lineRule="auto"/>
        <w:rPr>
          <w:rFonts w:ascii="宋体" w:hAnsi="宋体"/>
          <w:snapToGrid w:val="0"/>
          <w:color w:val="auto"/>
          <w:highlight w:val="none"/>
        </w:rPr>
      </w:pPr>
      <w:bookmarkStart w:id="127" w:name="_Toc287607748"/>
      <w:bookmarkStart w:id="128" w:name="_Toc27916"/>
      <w:bookmarkStart w:id="129" w:name="_Toc27555"/>
      <w:bookmarkStart w:id="130" w:name="_Toc224103319"/>
      <w:bookmarkStart w:id="131" w:name="_Toc2787"/>
      <w:bookmarkStart w:id="132" w:name="_Toc200513128"/>
      <w:bookmarkStart w:id="133" w:name="_Toc16000380"/>
      <w:bookmarkStart w:id="134" w:name="_Toc483489673"/>
      <w:bookmarkStart w:id="135" w:name="_Toc31950"/>
      <w:bookmarkStart w:id="136" w:name="_Toc493602404"/>
      <w:bookmarkStart w:id="137" w:name="_Toc277082554"/>
      <w:r>
        <w:rPr>
          <w:rFonts w:hint="eastAsia" w:ascii="宋体" w:hAnsi="宋体"/>
          <w:snapToGrid w:val="0"/>
          <w:color w:val="auto"/>
          <w:highlight w:val="none"/>
        </w:rPr>
        <w:t>1.2  资金来源和落实情况</w:t>
      </w:r>
      <w:bookmarkEnd w:id="127"/>
      <w:bookmarkEnd w:id="128"/>
      <w:bookmarkEnd w:id="129"/>
      <w:bookmarkEnd w:id="130"/>
      <w:bookmarkEnd w:id="131"/>
      <w:bookmarkEnd w:id="132"/>
      <w:bookmarkEnd w:id="133"/>
      <w:bookmarkEnd w:id="134"/>
      <w:bookmarkEnd w:id="135"/>
      <w:bookmarkEnd w:id="136"/>
      <w:bookmarkEnd w:id="137"/>
    </w:p>
    <w:p w14:paraId="31FA31DE">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1.2.1  </w:t>
      </w:r>
      <w:r>
        <w:rPr>
          <w:rFonts w:hint="eastAsia" w:ascii="宋体" w:hAnsi="宋体" w:cs="MingLiU"/>
          <w:snapToGrid w:val="0"/>
          <w:color w:val="auto"/>
          <w:kern w:val="0"/>
          <w:szCs w:val="21"/>
          <w:highlight w:val="none"/>
        </w:rPr>
        <w:t>本比选项目的资金来源：见比选申请人须知前附表。</w:t>
      </w:r>
    </w:p>
    <w:p w14:paraId="1DABB839">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1.2.2  </w:t>
      </w:r>
      <w:r>
        <w:rPr>
          <w:rFonts w:hint="eastAsia" w:ascii="宋体" w:hAnsi="宋体" w:cs="MingLiU"/>
          <w:snapToGrid w:val="0"/>
          <w:color w:val="auto"/>
          <w:kern w:val="0"/>
          <w:szCs w:val="21"/>
          <w:highlight w:val="none"/>
        </w:rPr>
        <w:t>本比选项目的出资比例：见比选申请人须知前附表。</w:t>
      </w:r>
    </w:p>
    <w:p w14:paraId="539050B4">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1.2.3  </w:t>
      </w:r>
      <w:r>
        <w:rPr>
          <w:rFonts w:hint="eastAsia" w:ascii="宋体" w:hAnsi="宋体" w:cs="MingLiU"/>
          <w:snapToGrid w:val="0"/>
          <w:color w:val="auto"/>
          <w:kern w:val="0"/>
          <w:szCs w:val="21"/>
          <w:highlight w:val="none"/>
        </w:rPr>
        <w:t>本比选项目的资金落实情况：见比选申请人须知前附表。</w:t>
      </w:r>
    </w:p>
    <w:p w14:paraId="26ED022D">
      <w:pPr>
        <w:pStyle w:val="5"/>
        <w:snapToGrid w:val="0"/>
        <w:spacing w:line="360" w:lineRule="auto"/>
        <w:rPr>
          <w:rFonts w:ascii="宋体" w:hAnsi="宋体"/>
          <w:snapToGrid w:val="0"/>
          <w:color w:val="auto"/>
          <w:highlight w:val="none"/>
        </w:rPr>
      </w:pPr>
      <w:bookmarkStart w:id="138" w:name="_Toc224103320"/>
      <w:bookmarkStart w:id="139" w:name="_Toc493602405"/>
      <w:bookmarkStart w:id="140" w:name="_Toc483489674"/>
      <w:bookmarkStart w:id="141" w:name="_Toc25794"/>
      <w:bookmarkStart w:id="142" w:name="_Toc200513129"/>
      <w:bookmarkStart w:id="143" w:name="_Toc277082555"/>
      <w:bookmarkStart w:id="144" w:name="_Toc24861"/>
      <w:bookmarkStart w:id="145" w:name="_Toc28676"/>
      <w:bookmarkStart w:id="146" w:name="_Toc16000381"/>
      <w:bookmarkStart w:id="147" w:name="_Toc287607749"/>
      <w:bookmarkStart w:id="148" w:name="_Toc9434"/>
      <w:r>
        <w:rPr>
          <w:rFonts w:hint="eastAsia" w:ascii="宋体" w:hAnsi="宋体"/>
          <w:snapToGrid w:val="0"/>
          <w:color w:val="auto"/>
          <w:highlight w:val="none"/>
        </w:rPr>
        <w:t>1.3  比选范围、计划工期和质量要求</w:t>
      </w:r>
      <w:bookmarkEnd w:id="138"/>
      <w:bookmarkEnd w:id="139"/>
      <w:bookmarkEnd w:id="140"/>
      <w:bookmarkEnd w:id="141"/>
      <w:bookmarkEnd w:id="142"/>
      <w:bookmarkEnd w:id="143"/>
      <w:bookmarkEnd w:id="144"/>
      <w:bookmarkEnd w:id="145"/>
      <w:bookmarkEnd w:id="146"/>
      <w:bookmarkEnd w:id="147"/>
      <w:bookmarkEnd w:id="148"/>
    </w:p>
    <w:p w14:paraId="03D2E028">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1.3.1  </w:t>
      </w:r>
      <w:r>
        <w:rPr>
          <w:rFonts w:hint="eastAsia" w:ascii="宋体" w:hAnsi="宋体" w:cs="MingLiU"/>
          <w:snapToGrid w:val="0"/>
          <w:color w:val="auto"/>
          <w:kern w:val="0"/>
          <w:szCs w:val="21"/>
          <w:highlight w:val="none"/>
        </w:rPr>
        <w:t>本次比选范围：见比选申请人须知前附表。</w:t>
      </w:r>
    </w:p>
    <w:p w14:paraId="2AB11756">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1.3.2  </w:t>
      </w:r>
      <w:r>
        <w:rPr>
          <w:rFonts w:hint="eastAsia" w:ascii="宋体" w:hAnsi="宋体" w:cs="MingLiU"/>
          <w:snapToGrid w:val="0"/>
          <w:color w:val="auto"/>
          <w:kern w:val="0"/>
          <w:szCs w:val="21"/>
          <w:highlight w:val="none"/>
        </w:rPr>
        <w:t>本标段的计划工期：见比选申请人须知前附表。</w:t>
      </w:r>
    </w:p>
    <w:p w14:paraId="11B1BBC0">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1.3.3  </w:t>
      </w:r>
      <w:r>
        <w:rPr>
          <w:rFonts w:hint="eastAsia" w:ascii="宋体" w:hAnsi="宋体" w:cs="MingLiU"/>
          <w:snapToGrid w:val="0"/>
          <w:color w:val="auto"/>
          <w:kern w:val="0"/>
          <w:szCs w:val="21"/>
          <w:highlight w:val="none"/>
        </w:rPr>
        <w:t>本标段的质量要求：见比选申请人须知前附表。</w:t>
      </w:r>
    </w:p>
    <w:p w14:paraId="6164BEC3">
      <w:pPr>
        <w:pStyle w:val="5"/>
        <w:snapToGrid w:val="0"/>
        <w:spacing w:line="360" w:lineRule="auto"/>
        <w:rPr>
          <w:rFonts w:ascii="宋体" w:hAnsi="宋体"/>
          <w:snapToGrid w:val="0"/>
          <w:color w:val="auto"/>
          <w:szCs w:val="21"/>
          <w:highlight w:val="none"/>
        </w:rPr>
      </w:pPr>
      <w:bookmarkStart w:id="149" w:name="_Toc277082557"/>
      <w:bookmarkStart w:id="150" w:name="_Toc200513131"/>
      <w:bookmarkStart w:id="151" w:name="_Toc21868"/>
      <w:bookmarkStart w:id="152" w:name="_Toc224103322"/>
      <w:bookmarkStart w:id="153" w:name="_Toc21644"/>
      <w:bookmarkStart w:id="154" w:name="_Toc287607751"/>
      <w:bookmarkStart w:id="155" w:name="_Toc10038"/>
      <w:bookmarkStart w:id="156" w:name="_Toc18287"/>
      <w:bookmarkStart w:id="157" w:name="_Toc16000382"/>
      <w:bookmarkStart w:id="158" w:name="_Toc493602406"/>
      <w:bookmarkStart w:id="159" w:name="_Toc483489675"/>
      <w:r>
        <w:rPr>
          <w:rFonts w:hint="eastAsia" w:ascii="宋体" w:hAnsi="宋体"/>
          <w:snapToGrid w:val="0"/>
          <w:color w:val="auto"/>
          <w:highlight w:val="none"/>
        </w:rPr>
        <w:t>1.4  比选申请人资格要求</w:t>
      </w:r>
      <w:bookmarkEnd w:id="149"/>
      <w:bookmarkEnd w:id="150"/>
      <w:bookmarkEnd w:id="151"/>
      <w:bookmarkEnd w:id="152"/>
      <w:bookmarkEnd w:id="153"/>
      <w:bookmarkEnd w:id="154"/>
      <w:bookmarkEnd w:id="155"/>
      <w:bookmarkEnd w:id="156"/>
      <w:bookmarkEnd w:id="157"/>
      <w:bookmarkEnd w:id="158"/>
      <w:bookmarkEnd w:id="159"/>
    </w:p>
    <w:p w14:paraId="0892AF12">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1.4.1 </w:t>
      </w:r>
      <w:r>
        <w:rPr>
          <w:rFonts w:hint="eastAsia" w:ascii="宋体" w:hAnsi="宋体" w:cs="MingLiU"/>
          <w:snapToGrid w:val="0"/>
          <w:color w:val="auto"/>
          <w:kern w:val="0"/>
          <w:szCs w:val="21"/>
          <w:highlight w:val="none"/>
        </w:rPr>
        <w:t>比选申请人应具备承担本标段施工的资质条件、能力和信誉。</w:t>
      </w:r>
    </w:p>
    <w:p w14:paraId="248FF3EA">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1</w:t>
      </w:r>
      <w:r>
        <w:rPr>
          <w:rFonts w:hint="eastAsia" w:ascii="宋体" w:hAnsi="宋体" w:cs="MingLiU"/>
          <w:snapToGrid w:val="0"/>
          <w:color w:val="auto"/>
          <w:kern w:val="0"/>
          <w:szCs w:val="21"/>
          <w:highlight w:val="none"/>
        </w:rPr>
        <w:t>）</w:t>
      </w:r>
      <w:r>
        <w:rPr>
          <w:rFonts w:hint="eastAsia" w:ascii="宋体" w:hAnsi="宋体"/>
          <w:color w:val="auto"/>
          <w:szCs w:val="21"/>
          <w:highlight w:val="none"/>
        </w:rPr>
        <w:t>资质条件、营业执照及安全生产条件</w:t>
      </w:r>
      <w:r>
        <w:rPr>
          <w:rFonts w:hint="eastAsia" w:ascii="宋体" w:hAnsi="宋体" w:cs="MingLiU"/>
          <w:snapToGrid w:val="0"/>
          <w:color w:val="auto"/>
          <w:kern w:val="0"/>
          <w:szCs w:val="21"/>
          <w:highlight w:val="none"/>
        </w:rPr>
        <w:t>：见比选申请人须知前附表；</w:t>
      </w:r>
    </w:p>
    <w:p w14:paraId="785093C2">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2</w:t>
      </w:r>
      <w:r>
        <w:rPr>
          <w:rFonts w:hint="eastAsia" w:ascii="宋体" w:hAnsi="宋体" w:cs="MingLiU"/>
          <w:snapToGrid w:val="0"/>
          <w:color w:val="auto"/>
          <w:kern w:val="0"/>
          <w:szCs w:val="21"/>
          <w:highlight w:val="none"/>
        </w:rPr>
        <w:t>）财务要求：见比选申请人须知前附表；</w:t>
      </w:r>
    </w:p>
    <w:p w14:paraId="0C8E8352">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3</w:t>
      </w:r>
      <w:r>
        <w:rPr>
          <w:rFonts w:hint="eastAsia" w:ascii="宋体" w:hAnsi="宋体" w:cs="MingLiU"/>
          <w:snapToGrid w:val="0"/>
          <w:color w:val="auto"/>
          <w:kern w:val="0"/>
          <w:szCs w:val="21"/>
          <w:highlight w:val="none"/>
        </w:rPr>
        <w:t>）业绩要求：见比选申请人须知前附表；</w:t>
      </w:r>
    </w:p>
    <w:p w14:paraId="61D9EEB5">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4</w:t>
      </w:r>
      <w:r>
        <w:rPr>
          <w:rFonts w:hint="eastAsia" w:ascii="宋体" w:hAnsi="宋体" w:cs="MingLiU"/>
          <w:snapToGrid w:val="0"/>
          <w:color w:val="auto"/>
          <w:kern w:val="0"/>
          <w:szCs w:val="21"/>
          <w:highlight w:val="none"/>
        </w:rPr>
        <w:t>）项目经理资格：见比选申请人须知前附表；</w:t>
      </w:r>
    </w:p>
    <w:p w14:paraId="6060EE77">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5</w:t>
      </w:r>
      <w:r>
        <w:rPr>
          <w:rFonts w:hint="eastAsia" w:ascii="宋体" w:hAnsi="宋体" w:cs="MingLiU"/>
          <w:snapToGrid w:val="0"/>
          <w:color w:val="auto"/>
          <w:kern w:val="0"/>
          <w:szCs w:val="21"/>
          <w:highlight w:val="none"/>
        </w:rPr>
        <w:t>）其他要求：见比选申请人须知前附表。</w:t>
      </w:r>
    </w:p>
    <w:p w14:paraId="5FBAA6A2">
      <w:pPr>
        <w:autoSpaceDE w:val="0"/>
        <w:autoSpaceDN w:val="0"/>
        <w:adjustRightInd w:val="0"/>
        <w:snapToGrid w:val="0"/>
        <w:spacing w:line="360" w:lineRule="auto"/>
        <w:ind w:firstLine="359" w:firstLineChars="171"/>
        <w:jc w:val="left"/>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6</w:t>
      </w:r>
      <w:r>
        <w:rPr>
          <w:rFonts w:hint="eastAsia" w:ascii="宋体" w:hAnsi="宋体" w:cs="MingLiU"/>
          <w:snapToGrid w:val="0"/>
          <w:color w:val="auto"/>
          <w:kern w:val="0"/>
          <w:szCs w:val="21"/>
          <w:highlight w:val="none"/>
        </w:rPr>
        <w:t>）信誉要求：见比选申请人须知前附表</w:t>
      </w:r>
      <w:r>
        <w:rPr>
          <w:rFonts w:hint="eastAsia" w:ascii="宋体" w:hAnsi="宋体"/>
          <w:snapToGrid w:val="0"/>
          <w:color w:val="auto"/>
          <w:kern w:val="0"/>
          <w:szCs w:val="21"/>
          <w:highlight w:val="none"/>
        </w:rPr>
        <w:t>；</w:t>
      </w:r>
    </w:p>
    <w:p w14:paraId="298B6548">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1.4.2  </w:t>
      </w:r>
      <w:r>
        <w:rPr>
          <w:rFonts w:hint="eastAsia" w:ascii="宋体" w:hAnsi="宋体" w:cs="MingLiU"/>
          <w:snapToGrid w:val="0"/>
          <w:color w:val="auto"/>
          <w:kern w:val="0"/>
          <w:szCs w:val="21"/>
          <w:highlight w:val="none"/>
        </w:rPr>
        <w:t>不接受联合体投标。</w:t>
      </w:r>
    </w:p>
    <w:p w14:paraId="19BAB010">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1.4.3  </w:t>
      </w:r>
      <w:r>
        <w:rPr>
          <w:rFonts w:hint="eastAsia" w:ascii="宋体" w:hAnsi="宋体" w:cs="MingLiU"/>
          <w:snapToGrid w:val="0"/>
          <w:color w:val="auto"/>
          <w:kern w:val="0"/>
          <w:szCs w:val="21"/>
          <w:highlight w:val="none"/>
        </w:rPr>
        <w:t>比选申请人不得存在下列情形之一：</w:t>
      </w:r>
    </w:p>
    <w:p w14:paraId="6D51D3CD">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position w:val="-2"/>
          <w:szCs w:val="21"/>
          <w:highlight w:val="none"/>
        </w:rPr>
        <w:t>（</w:t>
      </w:r>
      <w:r>
        <w:rPr>
          <w:rFonts w:hint="eastAsia" w:ascii="宋体" w:hAnsi="宋体"/>
          <w:snapToGrid w:val="0"/>
          <w:color w:val="auto"/>
          <w:kern w:val="0"/>
          <w:position w:val="-2"/>
          <w:szCs w:val="21"/>
          <w:highlight w:val="none"/>
        </w:rPr>
        <w:t>1</w:t>
      </w:r>
      <w:r>
        <w:rPr>
          <w:rFonts w:hint="eastAsia" w:ascii="宋体" w:hAnsi="宋体" w:cs="MingLiU"/>
          <w:snapToGrid w:val="0"/>
          <w:color w:val="auto"/>
          <w:kern w:val="0"/>
          <w:position w:val="-2"/>
          <w:szCs w:val="21"/>
          <w:highlight w:val="none"/>
        </w:rPr>
        <w:t>）与比选人存在利害关系可能影响比选公正性的法人、其他组织或者个人；</w:t>
      </w:r>
    </w:p>
    <w:p w14:paraId="5EB966EF">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2</w:t>
      </w:r>
      <w:r>
        <w:rPr>
          <w:rFonts w:hint="eastAsia" w:ascii="宋体" w:hAnsi="宋体" w:cs="MingLiU"/>
          <w:snapToGrid w:val="0"/>
          <w:color w:val="auto"/>
          <w:kern w:val="0"/>
          <w:szCs w:val="21"/>
          <w:highlight w:val="none"/>
        </w:rPr>
        <w:t>）为本标段前期准备提供设计或咨询服务的，但设计施工总承包的除外；</w:t>
      </w:r>
    </w:p>
    <w:p w14:paraId="40D0FB3C">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3</w:t>
      </w:r>
      <w:r>
        <w:rPr>
          <w:rFonts w:hint="eastAsia" w:ascii="宋体" w:hAnsi="宋体" w:cs="MingLiU"/>
          <w:snapToGrid w:val="0"/>
          <w:color w:val="auto"/>
          <w:kern w:val="0"/>
          <w:szCs w:val="21"/>
          <w:highlight w:val="none"/>
        </w:rPr>
        <w:t>）为本标段的监理人；</w:t>
      </w:r>
    </w:p>
    <w:p w14:paraId="1A987C3F">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4</w:t>
      </w:r>
      <w:r>
        <w:rPr>
          <w:rFonts w:hint="eastAsia" w:ascii="宋体" w:hAnsi="宋体" w:cs="MingLiU"/>
          <w:snapToGrid w:val="0"/>
          <w:color w:val="auto"/>
          <w:kern w:val="0"/>
          <w:szCs w:val="21"/>
          <w:highlight w:val="none"/>
        </w:rPr>
        <w:t>）为本标段的代建人；</w:t>
      </w:r>
    </w:p>
    <w:p w14:paraId="405A50FA">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5</w:t>
      </w:r>
      <w:r>
        <w:rPr>
          <w:rFonts w:hint="eastAsia" w:ascii="宋体" w:hAnsi="宋体" w:cs="MingLiU"/>
          <w:snapToGrid w:val="0"/>
          <w:color w:val="auto"/>
          <w:kern w:val="0"/>
          <w:szCs w:val="21"/>
          <w:highlight w:val="none"/>
        </w:rPr>
        <w:t>）为本标段提供比选代理服务的；</w:t>
      </w:r>
    </w:p>
    <w:p w14:paraId="27DC88E8">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6</w:t>
      </w:r>
      <w:r>
        <w:rPr>
          <w:rFonts w:hint="eastAsia" w:ascii="宋体" w:hAnsi="宋体" w:cs="MingLiU"/>
          <w:snapToGrid w:val="0"/>
          <w:color w:val="auto"/>
          <w:kern w:val="0"/>
          <w:szCs w:val="21"/>
          <w:highlight w:val="none"/>
        </w:rPr>
        <w:t>）与本标段的监理人或代建人或比选代理机构同为一个法定代表人的；</w:t>
      </w:r>
    </w:p>
    <w:p w14:paraId="3568D50F">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7</w:t>
      </w:r>
      <w:r>
        <w:rPr>
          <w:rFonts w:hint="eastAsia" w:ascii="宋体" w:hAnsi="宋体" w:cs="MingLiU"/>
          <w:snapToGrid w:val="0"/>
          <w:color w:val="auto"/>
          <w:kern w:val="0"/>
          <w:szCs w:val="21"/>
          <w:highlight w:val="none"/>
        </w:rPr>
        <w:t>）被责令停业的；</w:t>
      </w:r>
    </w:p>
    <w:p w14:paraId="741D0331">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8</w:t>
      </w:r>
      <w:r>
        <w:rPr>
          <w:rFonts w:hint="eastAsia" w:ascii="宋体" w:hAnsi="宋体" w:cs="MingLiU"/>
          <w:snapToGrid w:val="0"/>
          <w:color w:val="auto"/>
          <w:kern w:val="0"/>
          <w:szCs w:val="21"/>
          <w:highlight w:val="none"/>
        </w:rPr>
        <w:t>）被暂停或取消投标资格的；</w:t>
      </w:r>
    </w:p>
    <w:p w14:paraId="28629D14">
      <w:pPr>
        <w:autoSpaceDE w:val="0"/>
        <w:autoSpaceDN w:val="0"/>
        <w:adjustRightInd w:val="0"/>
        <w:snapToGrid w:val="0"/>
        <w:spacing w:line="360" w:lineRule="auto"/>
        <w:ind w:firstLine="359" w:firstLine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9</w:t>
      </w:r>
      <w:r>
        <w:rPr>
          <w:rFonts w:hint="eastAsia" w:ascii="宋体" w:hAnsi="宋体" w:cs="MingLiU"/>
          <w:snapToGrid w:val="0"/>
          <w:color w:val="auto"/>
          <w:kern w:val="0"/>
          <w:szCs w:val="21"/>
          <w:highlight w:val="none"/>
        </w:rPr>
        <w:t>）财产被接管或冻结的；</w:t>
      </w:r>
    </w:p>
    <w:p w14:paraId="5B0DDC10">
      <w:pPr>
        <w:pStyle w:val="5"/>
        <w:snapToGrid w:val="0"/>
        <w:spacing w:line="360" w:lineRule="auto"/>
        <w:rPr>
          <w:rFonts w:ascii="宋体" w:hAnsi="宋体"/>
          <w:snapToGrid w:val="0"/>
          <w:color w:val="auto"/>
          <w:highlight w:val="none"/>
        </w:rPr>
      </w:pPr>
      <w:bookmarkStart w:id="160" w:name="_Toc23252"/>
      <w:bookmarkStart w:id="161" w:name="_Toc287607752"/>
      <w:bookmarkStart w:id="162" w:name="_Toc277082558"/>
      <w:bookmarkStart w:id="163" w:name="_Toc224103323"/>
      <w:bookmarkStart w:id="164" w:name="_Toc23373"/>
      <w:bookmarkStart w:id="165" w:name="_Toc18775"/>
      <w:bookmarkStart w:id="166" w:name="_Toc16425"/>
      <w:bookmarkStart w:id="167" w:name="_Toc200513132"/>
      <w:bookmarkStart w:id="168" w:name="_Toc483489676"/>
      <w:bookmarkStart w:id="169" w:name="_Toc16000383"/>
      <w:bookmarkStart w:id="170" w:name="_Toc493602407"/>
      <w:r>
        <w:rPr>
          <w:rFonts w:hint="eastAsia" w:ascii="宋体" w:hAnsi="宋体"/>
          <w:snapToGrid w:val="0"/>
          <w:color w:val="auto"/>
          <w:highlight w:val="none"/>
        </w:rPr>
        <w:t>1.5  费用承担</w:t>
      </w:r>
      <w:bookmarkEnd w:id="160"/>
      <w:bookmarkEnd w:id="161"/>
      <w:bookmarkEnd w:id="162"/>
      <w:bookmarkEnd w:id="163"/>
      <w:bookmarkEnd w:id="164"/>
      <w:bookmarkEnd w:id="165"/>
      <w:bookmarkEnd w:id="166"/>
      <w:bookmarkEnd w:id="167"/>
      <w:bookmarkEnd w:id="168"/>
      <w:bookmarkEnd w:id="169"/>
      <w:bookmarkEnd w:id="170"/>
    </w:p>
    <w:p w14:paraId="63EA2D36">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比选申请人准备和参加投标活动发生的费用自理。</w:t>
      </w:r>
    </w:p>
    <w:p w14:paraId="5DCC516D">
      <w:pPr>
        <w:pStyle w:val="5"/>
        <w:snapToGrid w:val="0"/>
        <w:spacing w:line="360" w:lineRule="auto"/>
        <w:rPr>
          <w:rFonts w:ascii="宋体" w:hAnsi="宋体"/>
          <w:snapToGrid w:val="0"/>
          <w:color w:val="auto"/>
          <w:highlight w:val="none"/>
        </w:rPr>
      </w:pPr>
      <w:bookmarkStart w:id="171" w:name="_Toc3518"/>
      <w:bookmarkStart w:id="172" w:name="_Toc224103324"/>
      <w:bookmarkStart w:id="173" w:name="_Toc277082559"/>
      <w:bookmarkStart w:id="174" w:name="_Toc14654"/>
      <w:bookmarkStart w:id="175" w:name="_Toc493602408"/>
      <w:bookmarkStart w:id="176" w:name="_Toc16000384"/>
      <w:bookmarkStart w:id="177" w:name="_Toc460"/>
      <w:bookmarkStart w:id="178" w:name="_Toc287607753"/>
      <w:bookmarkStart w:id="179" w:name="_Toc200513133"/>
      <w:bookmarkStart w:id="180" w:name="_Toc483489677"/>
      <w:bookmarkStart w:id="181" w:name="_Toc10592"/>
      <w:r>
        <w:rPr>
          <w:rFonts w:hint="eastAsia" w:ascii="宋体" w:hAnsi="宋体"/>
          <w:snapToGrid w:val="0"/>
          <w:color w:val="auto"/>
          <w:highlight w:val="none"/>
        </w:rPr>
        <w:t>1.6  保密</w:t>
      </w:r>
      <w:bookmarkEnd w:id="171"/>
      <w:bookmarkEnd w:id="172"/>
      <w:bookmarkEnd w:id="173"/>
      <w:bookmarkEnd w:id="174"/>
      <w:bookmarkEnd w:id="175"/>
      <w:bookmarkEnd w:id="176"/>
      <w:bookmarkEnd w:id="177"/>
      <w:bookmarkEnd w:id="178"/>
      <w:bookmarkEnd w:id="179"/>
      <w:bookmarkEnd w:id="180"/>
      <w:bookmarkEnd w:id="181"/>
    </w:p>
    <w:p w14:paraId="0AC95BBC">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参与比选投标活动的各方应对比选文件和比选申请文件中的商业和技术等秘密保密，违者应对由此造成的后果承担法律责任。</w:t>
      </w:r>
    </w:p>
    <w:p w14:paraId="0FD7EC8F">
      <w:pPr>
        <w:pStyle w:val="5"/>
        <w:snapToGrid w:val="0"/>
        <w:spacing w:line="360" w:lineRule="auto"/>
        <w:rPr>
          <w:rFonts w:ascii="宋体" w:hAnsi="宋体"/>
          <w:snapToGrid w:val="0"/>
          <w:color w:val="auto"/>
          <w:highlight w:val="none"/>
        </w:rPr>
      </w:pPr>
      <w:bookmarkStart w:id="182" w:name="_Toc1828"/>
      <w:bookmarkStart w:id="183" w:name="_Toc22051"/>
      <w:bookmarkStart w:id="184" w:name="_Toc16000385"/>
      <w:bookmarkStart w:id="185" w:name="_Toc287607754"/>
      <w:bookmarkStart w:id="186" w:name="_Toc277082560"/>
      <w:bookmarkStart w:id="187" w:name="_Toc483489678"/>
      <w:bookmarkStart w:id="188" w:name="_Toc7966"/>
      <w:bookmarkStart w:id="189" w:name="_Toc2806"/>
      <w:bookmarkStart w:id="190" w:name="_Toc493602409"/>
      <w:bookmarkStart w:id="191" w:name="_Toc224103325"/>
      <w:bookmarkStart w:id="192" w:name="_Toc200513134"/>
      <w:r>
        <w:rPr>
          <w:rFonts w:hint="eastAsia" w:ascii="宋体" w:hAnsi="宋体"/>
          <w:snapToGrid w:val="0"/>
          <w:color w:val="auto"/>
          <w:highlight w:val="none"/>
        </w:rPr>
        <w:t>1.7  语言文字</w:t>
      </w:r>
      <w:bookmarkEnd w:id="182"/>
      <w:bookmarkEnd w:id="183"/>
      <w:bookmarkEnd w:id="184"/>
      <w:bookmarkEnd w:id="185"/>
      <w:bookmarkEnd w:id="186"/>
      <w:bookmarkEnd w:id="187"/>
      <w:bookmarkEnd w:id="188"/>
      <w:bookmarkEnd w:id="189"/>
      <w:bookmarkEnd w:id="190"/>
      <w:bookmarkEnd w:id="191"/>
      <w:bookmarkEnd w:id="192"/>
    </w:p>
    <w:p w14:paraId="5CDE323C">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除专用术语外，与比选投标有关的语言均使用中文。必要时专用术语应附有中文注释。</w:t>
      </w:r>
    </w:p>
    <w:p w14:paraId="06988866">
      <w:pPr>
        <w:pStyle w:val="5"/>
        <w:snapToGrid w:val="0"/>
        <w:spacing w:line="360" w:lineRule="auto"/>
        <w:rPr>
          <w:rFonts w:ascii="宋体" w:hAnsi="宋体"/>
          <w:snapToGrid w:val="0"/>
          <w:color w:val="auto"/>
          <w:highlight w:val="none"/>
        </w:rPr>
      </w:pPr>
      <w:bookmarkStart w:id="193" w:name="_Toc224103326"/>
      <w:bookmarkStart w:id="194" w:name="_Toc18796"/>
      <w:bookmarkStart w:id="195" w:name="_Toc4600"/>
      <w:bookmarkStart w:id="196" w:name="_Toc287607755"/>
      <w:bookmarkStart w:id="197" w:name="_Toc27218"/>
      <w:bookmarkStart w:id="198" w:name="_Toc200513135"/>
      <w:bookmarkStart w:id="199" w:name="_Toc277082561"/>
      <w:bookmarkStart w:id="200" w:name="_Toc4406"/>
      <w:bookmarkStart w:id="201" w:name="_Toc493602410"/>
      <w:bookmarkStart w:id="202" w:name="_Toc16000386"/>
      <w:bookmarkStart w:id="203" w:name="_Toc483489679"/>
      <w:r>
        <w:rPr>
          <w:rFonts w:hint="eastAsia" w:ascii="宋体" w:hAnsi="宋体"/>
          <w:snapToGrid w:val="0"/>
          <w:color w:val="auto"/>
          <w:highlight w:val="none"/>
        </w:rPr>
        <w:t>1.8  计量单位</w:t>
      </w:r>
      <w:bookmarkEnd w:id="193"/>
      <w:bookmarkEnd w:id="194"/>
      <w:bookmarkEnd w:id="195"/>
      <w:bookmarkEnd w:id="196"/>
      <w:bookmarkEnd w:id="197"/>
      <w:bookmarkEnd w:id="198"/>
      <w:bookmarkEnd w:id="199"/>
      <w:bookmarkEnd w:id="200"/>
      <w:bookmarkEnd w:id="201"/>
      <w:bookmarkEnd w:id="202"/>
      <w:bookmarkEnd w:id="203"/>
    </w:p>
    <w:p w14:paraId="455BA4D0">
      <w:pPr>
        <w:autoSpaceDE w:val="0"/>
        <w:autoSpaceDN w:val="0"/>
        <w:adjustRightInd w:val="0"/>
        <w:snapToGrid w:val="0"/>
        <w:spacing w:line="360" w:lineRule="auto"/>
        <w:ind w:firstLine="424" w:firstLineChars="202"/>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所有计量均采用中华人民共和国法定计量单位。</w:t>
      </w:r>
    </w:p>
    <w:p w14:paraId="5151394D">
      <w:pPr>
        <w:pStyle w:val="5"/>
        <w:snapToGrid w:val="0"/>
        <w:spacing w:line="360" w:lineRule="auto"/>
        <w:rPr>
          <w:rFonts w:ascii="宋体" w:hAnsi="宋体"/>
          <w:snapToGrid w:val="0"/>
          <w:color w:val="auto"/>
          <w:highlight w:val="none"/>
        </w:rPr>
      </w:pPr>
      <w:bookmarkStart w:id="204" w:name="_Toc25685"/>
      <w:bookmarkStart w:id="205" w:name="_Toc200513136"/>
      <w:bookmarkStart w:id="206" w:name="_Toc27689"/>
      <w:bookmarkStart w:id="207" w:name="_Toc22758"/>
      <w:bookmarkStart w:id="208" w:name="_Toc277082562"/>
      <w:bookmarkStart w:id="209" w:name="_Toc20695"/>
      <w:bookmarkStart w:id="210" w:name="_Toc16000387"/>
      <w:bookmarkStart w:id="211" w:name="_Toc224103327"/>
      <w:bookmarkStart w:id="212" w:name="_Toc483489680"/>
      <w:bookmarkStart w:id="213" w:name="_Toc287607756"/>
      <w:bookmarkStart w:id="214" w:name="_Toc493602411"/>
      <w:r>
        <w:rPr>
          <w:rFonts w:hint="eastAsia" w:ascii="宋体" w:hAnsi="宋体"/>
          <w:snapToGrid w:val="0"/>
          <w:color w:val="auto"/>
          <w:highlight w:val="none"/>
        </w:rPr>
        <w:t>1.9  踏勘现场</w:t>
      </w:r>
      <w:bookmarkEnd w:id="204"/>
      <w:bookmarkEnd w:id="205"/>
      <w:bookmarkEnd w:id="206"/>
      <w:bookmarkEnd w:id="207"/>
      <w:bookmarkEnd w:id="208"/>
      <w:bookmarkEnd w:id="209"/>
      <w:bookmarkEnd w:id="210"/>
      <w:bookmarkEnd w:id="211"/>
      <w:bookmarkEnd w:id="212"/>
      <w:bookmarkEnd w:id="213"/>
      <w:bookmarkEnd w:id="214"/>
    </w:p>
    <w:p w14:paraId="6D56919A">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1.9.1  比选申请人须知前附表规定组织踏勘现场的，比选人按比选申请人须知前附表规定的时间、地点组织比选申请人踏勘项目现场。</w:t>
      </w:r>
    </w:p>
    <w:p w14:paraId="2B04FFCB">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1.9.2  比选申请人踏勘现场发生的费用自理。</w:t>
      </w:r>
    </w:p>
    <w:p w14:paraId="27FD1167">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1.9.3  除比选人的原因外，比选申请人自行负责在踏勘现场中所发生的人员伤亡和财产损失。</w:t>
      </w:r>
    </w:p>
    <w:p w14:paraId="2C9724EB">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1.9.4  </w:t>
      </w:r>
      <w:r>
        <w:rPr>
          <w:rFonts w:hint="eastAsia" w:ascii="宋体" w:hAnsi="宋体" w:cs="MingLiU"/>
          <w:snapToGrid w:val="0"/>
          <w:color w:val="auto"/>
          <w:kern w:val="0"/>
          <w:szCs w:val="21"/>
          <w:highlight w:val="none"/>
        </w:rPr>
        <w:t>比选人在踏勘现场中介绍的工程场地和相关的周边环境情况，供比选申请人在编制比选申请文件时参考，比选人不对比选申请人据此做出的判断和决策负责。</w:t>
      </w:r>
    </w:p>
    <w:p w14:paraId="77B1339F">
      <w:pPr>
        <w:pStyle w:val="5"/>
        <w:snapToGrid w:val="0"/>
        <w:spacing w:line="360" w:lineRule="auto"/>
        <w:rPr>
          <w:rFonts w:ascii="宋体" w:hAnsi="宋体"/>
          <w:snapToGrid w:val="0"/>
          <w:color w:val="auto"/>
          <w:highlight w:val="none"/>
        </w:rPr>
      </w:pPr>
      <w:bookmarkStart w:id="215" w:name="_Toc32695"/>
      <w:bookmarkStart w:id="216" w:name="_Toc12927"/>
      <w:bookmarkStart w:id="217" w:name="_Toc224103328"/>
      <w:bookmarkStart w:id="218" w:name="_Toc189"/>
      <w:bookmarkStart w:id="219" w:name="_Toc483489681"/>
      <w:bookmarkStart w:id="220" w:name="_Toc277082563"/>
      <w:bookmarkStart w:id="221" w:name="_Toc200513137"/>
      <w:bookmarkStart w:id="222" w:name="_Toc26834"/>
      <w:bookmarkStart w:id="223" w:name="_Toc16000388"/>
      <w:bookmarkStart w:id="224" w:name="_Toc493602412"/>
      <w:bookmarkStart w:id="225" w:name="_Toc287607757"/>
      <w:r>
        <w:rPr>
          <w:rFonts w:hint="eastAsia" w:ascii="宋体" w:hAnsi="宋体"/>
          <w:snapToGrid w:val="0"/>
          <w:color w:val="auto"/>
          <w:highlight w:val="none"/>
        </w:rPr>
        <w:t xml:space="preserve">1.10  </w:t>
      </w:r>
      <w:r>
        <w:rPr>
          <w:rFonts w:hint="eastAsia" w:ascii="宋体" w:hAnsi="宋体" w:cs="MingLiU"/>
          <w:snapToGrid w:val="0"/>
          <w:color w:val="auto"/>
          <w:szCs w:val="21"/>
          <w:highlight w:val="none"/>
        </w:rPr>
        <w:t>比选申请</w:t>
      </w:r>
      <w:r>
        <w:rPr>
          <w:rFonts w:hint="eastAsia" w:ascii="宋体" w:hAnsi="宋体"/>
          <w:snapToGrid w:val="0"/>
          <w:color w:val="auto"/>
          <w:highlight w:val="none"/>
        </w:rPr>
        <w:t>预备会</w:t>
      </w:r>
      <w:bookmarkEnd w:id="215"/>
      <w:bookmarkEnd w:id="216"/>
      <w:bookmarkEnd w:id="217"/>
      <w:bookmarkEnd w:id="218"/>
      <w:bookmarkEnd w:id="219"/>
      <w:bookmarkEnd w:id="220"/>
      <w:bookmarkEnd w:id="221"/>
      <w:bookmarkEnd w:id="222"/>
      <w:bookmarkEnd w:id="223"/>
      <w:bookmarkEnd w:id="224"/>
      <w:bookmarkEnd w:id="225"/>
    </w:p>
    <w:p w14:paraId="7663655E">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1.10.1  </w:t>
      </w:r>
      <w:r>
        <w:rPr>
          <w:rFonts w:hint="eastAsia" w:ascii="宋体" w:hAnsi="宋体" w:cs="MingLiU"/>
          <w:snapToGrid w:val="0"/>
          <w:color w:val="auto"/>
          <w:kern w:val="0"/>
          <w:szCs w:val="21"/>
          <w:highlight w:val="none"/>
        </w:rPr>
        <w:t>比选申请人须知前附表规定召开比选申请预备会的，比选人按比选申请人须知前附表规定的时间和地点召开比选申请预备会，澄清比选申请人提出的问题。</w:t>
      </w:r>
    </w:p>
    <w:p w14:paraId="0F079518">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1.10.2  </w:t>
      </w:r>
      <w:r>
        <w:rPr>
          <w:rFonts w:hint="eastAsia" w:ascii="宋体" w:hAnsi="宋体" w:cs="MingLiU"/>
          <w:snapToGrid w:val="0"/>
          <w:color w:val="auto"/>
          <w:kern w:val="0"/>
          <w:szCs w:val="21"/>
          <w:highlight w:val="none"/>
        </w:rPr>
        <w:t>比选申请人应在比选申请人须知前附表规定的时间前，以书面形式将提出的问题送达比选人，以便比选人在会议期间澄清。</w:t>
      </w:r>
    </w:p>
    <w:p w14:paraId="1B67DEE3">
      <w:pPr>
        <w:autoSpaceDE w:val="0"/>
        <w:autoSpaceDN w:val="0"/>
        <w:adjustRightInd w:val="0"/>
        <w:snapToGrid w:val="0"/>
        <w:spacing w:line="360" w:lineRule="auto"/>
        <w:ind w:firstLine="424" w:firstLineChars="202"/>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1.10.3  比选申请</w:t>
      </w:r>
      <w:r>
        <w:rPr>
          <w:rFonts w:hint="eastAsia" w:ascii="宋体" w:hAnsi="宋体" w:cs="MingLiU"/>
          <w:snapToGrid w:val="0"/>
          <w:color w:val="auto"/>
          <w:kern w:val="0"/>
          <w:szCs w:val="21"/>
          <w:highlight w:val="none"/>
        </w:rPr>
        <w:t>预备会后，比选人在比选申请人须知前附表规定的时间内，将对比选申请人所提问题</w:t>
      </w:r>
      <w:r>
        <w:rPr>
          <w:rFonts w:hint="eastAsia" w:ascii="宋体" w:hAnsi="宋体" w:cs="MingLiU"/>
          <w:snapToGrid w:val="0"/>
          <w:color w:val="auto"/>
          <w:kern w:val="0"/>
          <w:position w:val="-2"/>
          <w:szCs w:val="21"/>
          <w:highlight w:val="none"/>
        </w:rPr>
        <w:t>的澄清，以书面方式通知所有购买比选文件的比选申请人。该澄清内容为比选文件的组成部分。</w:t>
      </w:r>
    </w:p>
    <w:p w14:paraId="541CB1A9">
      <w:pPr>
        <w:pStyle w:val="5"/>
        <w:snapToGrid w:val="0"/>
        <w:spacing w:line="360" w:lineRule="auto"/>
        <w:rPr>
          <w:rFonts w:ascii="宋体" w:hAnsi="宋体"/>
          <w:snapToGrid w:val="0"/>
          <w:color w:val="auto"/>
          <w:highlight w:val="none"/>
        </w:rPr>
      </w:pPr>
      <w:bookmarkStart w:id="226" w:name="_Toc18998"/>
      <w:bookmarkStart w:id="227" w:name="_Toc9952"/>
      <w:bookmarkStart w:id="228" w:name="_Toc224103329"/>
      <w:bookmarkStart w:id="229" w:name="_Toc277082564"/>
      <w:bookmarkStart w:id="230" w:name="_Toc2822"/>
      <w:bookmarkStart w:id="231" w:name="_Toc493602413"/>
      <w:bookmarkStart w:id="232" w:name="_Toc16000389"/>
      <w:bookmarkStart w:id="233" w:name="_Toc287607758"/>
      <w:bookmarkStart w:id="234" w:name="_Toc200513138"/>
      <w:bookmarkStart w:id="235" w:name="_Toc483489682"/>
      <w:bookmarkStart w:id="236" w:name="_Toc21537"/>
      <w:r>
        <w:rPr>
          <w:rFonts w:hint="eastAsia" w:ascii="宋体" w:hAnsi="宋体"/>
          <w:snapToGrid w:val="0"/>
          <w:color w:val="auto"/>
          <w:highlight w:val="none"/>
        </w:rPr>
        <w:t>1.11  分包</w:t>
      </w:r>
      <w:bookmarkEnd w:id="226"/>
      <w:bookmarkEnd w:id="227"/>
      <w:bookmarkEnd w:id="228"/>
      <w:bookmarkEnd w:id="229"/>
      <w:bookmarkEnd w:id="230"/>
      <w:bookmarkEnd w:id="231"/>
      <w:bookmarkEnd w:id="232"/>
      <w:bookmarkEnd w:id="233"/>
      <w:bookmarkEnd w:id="234"/>
      <w:bookmarkEnd w:id="235"/>
      <w:bookmarkEnd w:id="236"/>
    </w:p>
    <w:p w14:paraId="49C688F2">
      <w:pPr>
        <w:autoSpaceDE w:val="0"/>
        <w:autoSpaceDN w:val="0"/>
        <w:adjustRightInd w:val="0"/>
        <w:snapToGrid w:val="0"/>
        <w:spacing w:line="360" w:lineRule="auto"/>
        <w:ind w:firstLine="426"/>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比选申请人拟在中选后将中选项目的部分非主体、非关键性工作进行分包的，应符合比选申请人须知前附表规定的分包内容、分包金额和接受分包的第三人资质要求等限制性条件。</w:t>
      </w:r>
    </w:p>
    <w:p w14:paraId="13C19BC5">
      <w:pPr>
        <w:pStyle w:val="4"/>
        <w:rPr>
          <w:rFonts w:ascii="宋体" w:hAnsi="宋体"/>
          <w:snapToGrid w:val="0"/>
          <w:color w:val="auto"/>
          <w:highlight w:val="none"/>
        </w:rPr>
      </w:pPr>
      <w:bookmarkStart w:id="237" w:name="_Toc18511"/>
      <w:bookmarkStart w:id="238" w:name="_Toc12758"/>
      <w:bookmarkStart w:id="239" w:name="_Toc200513140"/>
      <w:bookmarkStart w:id="240" w:name="_Toc19648"/>
      <w:bookmarkStart w:id="241" w:name="_Toc16000390"/>
      <w:bookmarkStart w:id="242" w:name="_Toc287607760"/>
      <w:bookmarkStart w:id="243" w:name="_Toc224103331"/>
      <w:bookmarkStart w:id="244" w:name="_Toc493602414"/>
      <w:bookmarkStart w:id="245" w:name="_Toc277082566"/>
      <w:r>
        <w:rPr>
          <w:rFonts w:hint="eastAsia" w:ascii="宋体" w:hAnsi="宋体"/>
          <w:snapToGrid w:val="0"/>
          <w:color w:val="auto"/>
          <w:highlight w:val="none"/>
        </w:rPr>
        <w:t>2.  比选文件</w:t>
      </w:r>
      <w:bookmarkEnd w:id="237"/>
      <w:bookmarkEnd w:id="238"/>
      <w:bookmarkEnd w:id="239"/>
      <w:bookmarkEnd w:id="240"/>
      <w:bookmarkEnd w:id="241"/>
      <w:bookmarkEnd w:id="242"/>
      <w:bookmarkEnd w:id="243"/>
      <w:bookmarkEnd w:id="244"/>
      <w:bookmarkEnd w:id="245"/>
    </w:p>
    <w:p w14:paraId="06A9CFF6">
      <w:pPr>
        <w:pStyle w:val="5"/>
        <w:snapToGrid w:val="0"/>
        <w:spacing w:line="360" w:lineRule="auto"/>
        <w:rPr>
          <w:rFonts w:ascii="宋体" w:hAnsi="宋体"/>
          <w:snapToGrid w:val="0"/>
          <w:color w:val="auto"/>
          <w:highlight w:val="none"/>
        </w:rPr>
      </w:pPr>
      <w:bookmarkStart w:id="246" w:name="_Toc287607761"/>
      <w:bookmarkStart w:id="247" w:name="_Toc200513141"/>
      <w:bookmarkStart w:id="248" w:name="_Toc10275"/>
      <w:bookmarkStart w:id="249" w:name="_Toc16000391"/>
      <w:bookmarkStart w:id="250" w:name="_Toc277082567"/>
      <w:bookmarkStart w:id="251" w:name="_Toc22985"/>
      <w:bookmarkStart w:id="252" w:name="_Toc1673"/>
      <w:bookmarkStart w:id="253" w:name="_Toc493602415"/>
      <w:bookmarkStart w:id="254" w:name="_Toc224103332"/>
      <w:bookmarkStart w:id="255" w:name="_Toc3807"/>
      <w:bookmarkStart w:id="256" w:name="_Toc483489684"/>
      <w:r>
        <w:rPr>
          <w:rFonts w:hint="eastAsia" w:ascii="宋体" w:hAnsi="宋体"/>
          <w:snapToGrid w:val="0"/>
          <w:color w:val="auto"/>
          <w:highlight w:val="none"/>
        </w:rPr>
        <w:t>2.1  比选文件的组成</w:t>
      </w:r>
      <w:bookmarkEnd w:id="246"/>
      <w:bookmarkEnd w:id="247"/>
      <w:bookmarkEnd w:id="248"/>
      <w:bookmarkEnd w:id="249"/>
      <w:bookmarkEnd w:id="250"/>
      <w:bookmarkEnd w:id="251"/>
      <w:bookmarkEnd w:id="252"/>
      <w:bookmarkEnd w:id="253"/>
      <w:bookmarkEnd w:id="254"/>
      <w:bookmarkEnd w:id="255"/>
      <w:bookmarkEnd w:id="256"/>
    </w:p>
    <w:p w14:paraId="6D7D77E0">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本比选文件包括：</w:t>
      </w:r>
    </w:p>
    <w:p w14:paraId="5976BF7E">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1</w:t>
      </w:r>
      <w:r>
        <w:rPr>
          <w:rFonts w:hint="eastAsia" w:ascii="宋体" w:hAnsi="宋体" w:cs="MingLiU"/>
          <w:snapToGrid w:val="0"/>
          <w:color w:val="auto"/>
          <w:kern w:val="0"/>
          <w:szCs w:val="21"/>
          <w:highlight w:val="none"/>
        </w:rPr>
        <w:t>）比选公告；</w:t>
      </w:r>
    </w:p>
    <w:p w14:paraId="3606941C">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2</w:t>
      </w:r>
      <w:r>
        <w:rPr>
          <w:rFonts w:hint="eastAsia" w:ascii="宋体" w:hAnsi="宋体" w:cs="MingLiU"/>
          <w:snapToGrid w:val="0"/>
          <w:color w:val="auto"/>
          <w:kern w:val="0"/>
          <w:szCs w:val="21"/>
          <w:highlight w:val="none"/>
        </w:rPr>
        <w:t>）比选申请人须知；</w:t>
      </w:r>
    </w:p>
    <w:p w14:paraId="1692E0C5">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3</w:t>
      </w:r>
      <w:r>
        <w:rPr>
          <w:rFonts w:hint="eastAsia" w:ascii="宋体" w:hAnsi="宋体" w:cs="MingLiU"/>
          <w:snapToGrid w:val="0"/>
          <w:color w:val="auto"/>
          <w:kern w:val="0"/>
          <w:szCs w:val="21"/>
          <w:highlight w:val="none"/>
        </w:rPr>
        <w:t>）评标办法；</w:t>
      </w:r>
    </w:p>
    <w:p w14:paraId="27058DCA">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4</w:t>
      </w:r>
      <w:r>
        <w:rPr>
          <w:rFonts w:hint="eastAsia" w:ascii="宋体" w:hAnsi="宋体" w:cs="MingLiU"/>
          <w:snapToGrid w:val="0"/>
          <w:color w:val="auto"/>
          <w:kern w:val="0"/>
          <w:szCs w:val="21"/>
          <w:highlight w:val="none"/>
        </w:rPr>
        <w:t>）合同条款及格式；</w:t>
      </w:r>
    </w:p>
    <w:p w14:paraId="0E02AF71">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5</w:t>
      </w:r>
      <w:r>
        <w:rPr>
          <w:rFonts w:hint="eastAsia" w:ascii="宋体" w:hAnsi="宋体" w:cs="MingLiU"/>
          <w:snapToGrid w:val="0"/>
          <w:color w:val="auto"/>
          <w:kern w:val="0"/>
          <w:szCs w:val="21"/>
          <w:highlight w:val="none"/>
        </w:rPr>
        <w:t>）图纸；</w:t>
      </w:r>
    </w:p>
    <w:p w14:paraId="173B6914">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6</w:t>
      </w:r>
      <w:r>
        <w:rPr>
          <w:rFonts w:hint="eastAsia" w:ascii="宋体" w:hAnsi="宋体" w:cs="MingLiU"/>
          <w:snapToGrid w:val="0"/>
          <w:color w:val="auto"/>
          <w:kern w:val="0"/>
          <w:szCs w:val="21"/>
          <w:highlight w:val="none"/>
        </w:rPr>
        <w:t>）技术标准和要求；</w:t>
      </w:r>
    </w:p>
    <w:p w14:paraId="64E7DDDC">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7</w:t>
      </w:r>
      <w:r>
        <w:rPr>
          <w:rFonts w:hint="eastAsia" w:ascii="宋体" w:hAnsi="宋体" w:cs="MingLiU"/>
          <w:snapToGrid w:val="0"/>
          <w:color w:val="auto"/>
          <w:kern w:val="0"/>
          <w:szCs w:val="21"/>
          <w:highlight w:val="none"/>
        </w:rPr>
        <w:t>）比选申请文件格式；</w:t>
      </w:r>
    </w:p>
    <w:p w14:paraId="59ED8561">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8</w:t>
      </w:r>
      <w:r>
        <w:rPr>
          <w:rFonts w:hint="eastAsia" w:ascii="宋体" w:hAnsi="宋体" w:cs="MingLiU"/>
          <w:snapToGrid w:val="0"/>
          <w:color w:val="auto"/>
          <w:kern w:val="0"/>
          <w:szCs w:val="21"/>
          <w:highlight w:val="none"/>
        </w:rPr>
        <w:t>）比选申请人须知前附表规定的其他材料。</w:t>
      </w:r>
    </w:p>
    <w:p w14:paraId="7D4118B8">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根据本章第</w:t>
      </w:r>
      <w:r>
        <w:rPr>
          <w:rFonts w:hint="eastAsia" w:ascii="宋体" w:hAnsi="宋体"/>
          <w:snapToGrid w:val="0"/>
          <w:color w:val="auto"/>
          <w:kern w:val="0"/>
          <w:szCs w:val="21"/>
          <w:highlight w:val="none"/>
        </w:rPr>
        <w:t>1.10</w:t>
      </w:r>
      <w:r>
        <w:rPr>
          <w:rFonts w:hint="eastAsia" w:ascii="宋体" w:hAnsi="宋体" w:cs="MingLiU"/>
          <w:snapToGrid w:val="0"/>
          <w:color w:val="auto"/>
          <w:kern w:val="0"/>
          <w:szCs w:val="21"/>
          <w:highlight w:val="none"/>
        </w:rPr>
        <w:t>款、第</w:t>
      </w:r>
      <w:r>
        <w:rPr>
          <w:rFonts w:hint="eastAsia" w:ascii="宋体" w:hAnsi="宋体"/>
          <w:snapToGrid w:val="0"/>
          <w:color w:val="auto"/>
          <w:kern w:val="0"/>
          <w:szCs w:val="21"/>
          <w:highlight w:val="none"/>
        </w:rPr>
        <w:t>2.2</w:t>
      </w:r>
      <w:r>
        <w:rPr>
          <w:rFonts w:hint="eastAsia" w:ascii="宋体" w:hAnsi="宋体" w:cs="MingLiU"/>
          <w:snapToGrid w:val="0"/>
          <w:color w:val="auto"/>
          <w:kern w:val="0"/>
          <w:szCs w:val="21"/>
          <w:highlight w:val="none"/>
        </w:rPr>
        <w:t>款和第</w:t>
      </w:r>
      <w:r>
        <w:rPr>
          <w:rFonts w:hint="eastAsia" w:ascii="宋体" w:hAnsi="宋体"/>
          <w:snapToGrid w:val="0"/>
          <w:color w:val="auto"/>
          <w:kern w:val="0"/>
          <w:szCs w:val="21"/>
          <w:highlight w:val="none"/>
        </w:rPr>
        <w:t>2.3</w:t>
      </w:r>
      <w:r>
        <w:rPr>
          <w:rFonts w:hint="eastAsia" w:ascii="宋体" w:hAnsi="宋体" w:cs="MingLiU"/>
          <w:snapToGrid w:val="0"/>
          <w:color w:val="auto"/>
          <w:kern w:val="0"/>
          <w:szCs w:val="21"/>
          <w:highlight w:val="none"/>
        </w:rPr>
        <w:t>款对比选文件所作的澄清、修改，构成比选文件的组成部分。</w:t>
      </w:r>
    </w:p>
    <w:p w14:paraId="41E7E331">
      <w:pPr>
        <w:pStyle w:val="5"/>
        <w:snapToGrid w:val="0"/>
        <w:spacing w:line="360" w:lineRule="auto"/>
        <w:rPr>
          <w:rFonts w:ascii="宋体" w:hAnsi="宋体"/>
          <w:snapToGrid w:val="0"/>
          <w:color w:val="auto"/>
          <w:highlight w:val="none"/>
        </w:rPr>
      </w:pPr>
      <w:bookmarkStart w:id="257" w:name="_Toc483489685"/>
      <w:bookmarkStart w:id="258" w:name="_Toc31140"/>
      <w:bookmarkStart w:id="259" w:name="_Toc277082568"/>
      <w:bookmarkStart w:id="260" w:name="_Toc6151"/>
      <w:bookmarkStart w:id="261" w:name="_Toc224103333"/>
      <w:bookmarkStart w:id="262" w:name="_Toc16000392"/>
      <w:bookmarkStart w:id="263" w:name="_Toc287607762"/>
      <w:bookmarkStart w:id="264" w:name="_Toc32060"/>
      <w:bookmarkStart w:id="265" w:name="_Toc493602416"/>
      <w:bookmarkStart w:id="266" w:name="_Toc200513142"/>
      <w:r>
        <w:rPr>
          <w:rFonts w:hint="eastAsia" w:ascii="宋体" w:hAnsi="宋体"/>
          <w:snapToGrid w:val="0"/>
          <w:color w:val="auto"/>
          <w:highlight w:val="none"/>
        </w:rPr>
        <w:t>2.2  比选文件的澄清</w:t>
      </w:r>
      <w:bookmarkEnd w:id="257"/>
      <w:bookmarkEnd w:id="258"/>
      <w:bookmarkEnd w:id="259"/>
      <w:bookmarkEnd w:id="260"/>
      <w:bookmarkEnd w:id="261"/>
      <w:bookmarkEnd w:id="262"/>
      <w:bookmarkEnd w:id="263"/>
      <w:bookmarkEnd w:id="264"/>
      <w:bookmarkEnd w:id="265"/>
      <w:bookmarkEnd w:id="266"/>
    </w:p>
    <w:p w14:paraId="1B25D254">
      <w:pPr>
        <w:autoSpaceDE w:val="0"/>
        <w:autoSpaceDN w:val="0"/>
        <w:adjustRightInd w:val="0"/>
        <w:snapToGrid w:val="0"/>
        <w:spacing w:line="360" w:lineRule="auto"/>
        <w:ind w:firstLine="420"/>
        <w:rPr>
          <w:rFonts w:ascii="宋体" w:hAnsi="宋体" w:cs="MingLiU"/>
          <w:snapToGrid w:val="0"/>
          <w:color w:val="auto"/>
          <w:kern w:val="0"/>
          <w:szCs w:val="21"/>
          <w:highlight w:val="none"/>
        </w:rPr>
      </w:pPr>
      <w:bookmarkStart w:id="267" w:name="_Toc224103334"/>
      <w:bookmarkStart w:id="268" w:name="_Toc200513143"/>
      <w:bookmarkStart w:id="269" w:name="_Toc287607763"/>
      <w:bookmarkStart w:id="270" w:name="_Toc277082569"/>
      <w:r>
        <w:rPr>
          <w:rFonts w:ascii="宋体" w:hAnsi="宋体" w:cs="MingLiU"/>
          <w:snapToGrid w:val="0"/>
          <w:color w:val="auto"/>
          <w:kern w:val="0"/>
          <w:szCs w:val="21"/>
          <w:highlight w:val="none"/>
        </w:rPr>
        <w:t>2.2.1  比选申请人应仔细阅读和检查比选文件的全部内容。如发现缺页或附件不全，应及时向比选人提出，以便补齐。如有疑问，应</w:t>
      </w:r>
      <w:r>
        <w:rPr>
          <w:rFonts w:hint="eastAsia" w:ascii="宋体" w:hAnsi="宋体" w:cs="MingLiU"/>
          <w:snapToGrid w:val="0"/>
          <w:color w:val="auto"/>
          <w:kern w:val="0"/>
          <w:szCs w:val="21"/>
          <w:highlight w:val="none"/>
        </w:rPr>
        <w:t>向比选人提出。</w:t>
      </w:r>
    </w:p>
    <w:p w14:paraId="32067CA1">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cs="MingLiU"/>
          <w:snapToGrid w:val="0"/>
          <w:color w:val="auto"/>
          <w:kern w:val="0"/>
          <w:szCs w:val="21"/>
          <w:highlight w:val="none"/>
        </w:rPr>
        <w:t>2.2.2  比选文件的澄清</w:t>
      </w:r>
      <w:r>
        <w:rPr>
          <w:rFonts w:hint="eastAsia" w:ascii="宋体" w:hAnsi="宋体" w:cs="MingLiU"/>
          <w:snapToGrid w:val="0"/>
          <w:color w:val="auto"/>
          <w:kern w:val="0"/>
          <w:szCs w:val="21"/>
          <w:highlight w:val="none"/>
        </w:rPr>
        <w:t>（答疑）</w:t>
      </w:r>
      <w:r>
        <w:rPr>
          <w:rFonts w:ascii="宋体" w:hAnsi="宋体" w:cs="MingLiU"/>
          <w:snapToGrid w:val="0"/>
          <w:color w:val="auto"/>
          <w:kern w:val="0"/>
          <w:szCs w:val="21"/>
          <w:highlight w:val="none"/>
        </w:rPr>
        <w:t>将</w:t>
      </w:r>
      <w:r>
        <w:rPr>
          <w:rFonts w:hint="eastAsia" w:ascii="宋体" w:hAnsi="宋体" w:cs="MingLiU"/>
          <w:snapToGrid w:val="0"/>
          <w:color w:val="auto"/>
          <w:kern w:val="0"/>
          <w:szCs w:val="21"/>
          <w:highlight w:val="none"/>
        </w:rPr>
        <w:t>向</w:t>
      </w:r>
      <w:r>
        <w:rPr>
          <w:rFonts w:ascii="宋体" w:hAnsi="宋体" w:cs="MingLiU"/>
          <w:snapToGrid w:val="0"/>
          <w:color w:val="auto"/>
          <w:kern w:val="0"/>
          <w:szCs w:val="21"/>
          <w:highlight w:val="none"/>
        </w:rPr>
        <w:t>比选申请人</w:t>
      </w:r>
      <w:r>
        <w:rPr>
          <w:rFonts w:hint="eastAsia" w:ascii="宋体" w:hAnsi="宋体" w:cs="MingLiU"/>
          <w:snapToGrid w:val="0"/>
          <w:color w:val="auto"/>
          <w:kern w:val="0"/>
          <w:szCs w:val="21"/>
          <w:highlight w:val="none"/>
        </w:rPr>
        <w:t>书面发出</w:t>
      </w:r>
      <w:r>
        <w:rPr>
          <w:rFonts w:ascii="宋体" w:hAnsi="宋体" w:cs="MingLiU"/>
          <w:snapToGrid w:val="0"/>
          <w:color w:val="auto"/>
          <w:kern w:val="0"/>
          <w:szCs w:val="21"/>
          <w:highlight w:val="none"/>
        </w:rPr>
        <w:t>，但不指明澄清问题的来源。</w:t>
      </w:r>
    </w:p>
    <w:p w14:paraId="5FA06A74">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cs="MingLiU"/>
          <w:snapToGrid w:val="0"/>
          <w:color w:val="auto"/>
          <w:kern w:val="0"/>
          <w:szCs w:val="21"/>
          <w:highlight w:val="none"/>
        </w:rPr>
        <w:t xml:space="preserve">2.2.3  </w:t>
      </w:r>
      <w:r>
        <w:rPr>
          <w:rFonts w:hint="eastAsia" w:ascii="宋体" w:hAnsi="宋体" w:cs="MingLiU"/>
          <w:snapToGrid w:val="0"/>
          <w:color w:val="auto"/>
          <w:kern w:val="0"/>
          <w:szCs w:val="21"/>
          <w:highlight w:val="none"/>
        </w:rPr>
        <w:t>比选申请人在收到澄清后，应在比选申请人须知前附表规定的时间内以书面形式通知比选人，确认已收到该澄清。</w:t>
      </w:r>
    </w:p>
    <w:bookmarkEnd w:id="267"/>
    <w:bookmarkEnd w:id="268"/>
    <w:bookmarkEnd w:id="269"/>
    <w:bookmarkEnd w:id="270"/>
    <w:p w14:paraId="634075F3">
      <w:pPr>
        <w:pStyle w:val="5"/>
        <w:snapToGrid w:val="0"/>
        <w:spacing w:line="360" w:lineRule="auto"/>
        <w:rPr>
          <w:rFonts w:ascii="宋体" w:hAnsi="宋体"/>
          <w:snapToGrid w:val="0"/>
          <w:color w:val="auto"/>
          <w:highlight w:val="none"/>
        </w:rPr>
      </w:pPr>
      <w:bookmarkStart w:id="271" w:name="_Toc483489686"/>
      <w:bookmarkStart w:id="272" w:name="_Toc25382"/>
      <w:bookmarkStart w:id="273" w:name="_Toc493602417"/>
      <w:bookmarkStart w:id="274" w:name="_Toc31814"/>
      <w:bookmarkStart w:id="275" w:name="_Toc5859"/>
      <w:bookmarkStart w:id="276" w:name="_Toc16000393"/>
      <w:bookmarkStart w:id="277" w:name="_Toc7626"/>
      <w:bookmarkStart w:id="278" w:name="_Toc224103335"/>
      <w:bookmarkStart w:id="279" w:name="_Toc200513144"/>
      <w:bookmarkStart w:id="280" w:name="_Toc277082570"/>
      <w:bookmarkStart w:id="281" w:name="_Toc287607764"/>
      <w:r>
        <w:rPr>
          <w:rFonts w:hint="eastAsia" w:ascii="宋体" w:hAnsi="宋体"/>
          <w:snapToGrid w:val="0"/>
          <w:color w:val="auto"/>
          <w:highlight w:val="none"/>
        </w:rPr>
        <w:t>2.3  比选文件的修改</w:t>
      </w:r>
      <w:bookmarkEnd w:id="271"/>
      <w:bookmarkEnd w:id="272"/>
      <w:bookmarkEnd w:id="273"/>
      <w:bookmarkEnd w:id="274"/>
      <w:bookmarkEnd w:id="275"/>
      <w:bookmarkEnd w:id="276"/>
      <w:bookmarkEnd w:id="277"/>
    </w:p>
    <w:p w14:paraId="4770B8FD">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按照本章2.2比选文件的澄清相关内容及方式执行。</w:t>
      </w:r>
    </w:p>
    <w:p w14:paraId="07745607">
      <w:pPr>
        <w:pStyle w:val="4"/>
        <w:rPr>
          <w:rFonts w:ascii="宋体" w:hAnsi="宋体"/>
          <w:snapToGrid w:val="0"/>
          <w:color w:val="auto"/>
          <w:highlight w:val="none"/>
        </w:rPr>
      </w:pPr>
      <w:bookmarkStart w:id="282" w:name="_Toc493602418"/>
      <w:bookmarkStart w:id="283" w:name="_Toc16000394"/>
      <w:bookmarkStart w:id="284" w:name="_Toc16095"/>
      <w:bookmarkStart w:id="285" w:name="_Toc5028"/>
      <w:bookmarkStart w:id="286" w:name="_Toc30972"/>
      <w:r>
        <w:rPr>
          <w:rFonts w:hint="eastAsia" w:ascii="宋体" w:hAnsi="宋体"/>
          <w:snapToGrid w:val="0"/>
          <w:color w:val="auto"/>
          <w:highlight w:val="none"/>
        </w:rPr>
        <w:t xml:space="preserve">3.  </w:t>
      </w:r>
      <w:bookmarkEnd w:id="278"/>
      <w:bookmarkEnd w:id="279"/>
      <w:bookmarkEnd w:id="280"/>
      <w:bookmarkEnd w:id="281"/>
      <w:bookmarkEnd w:id="282"/>
      <w:r>
        <w:rPr>
          <w:rFonts w:hint="eastAsia" w:ascii="宋体" w:hAnsi="宋体"/>
          <w:snapToGrid w:val="0"/>
          <w:color w:val="auto"/>
          <w:highlight w:val="none"/>
        </w:rPr>
        <w:t>比选申请文件</w:t>
      </w:r>
      <w:bookmarkEnd w:id="283"/>
      <w:bookmarkEnd w:id="284"/>
      <w:bookmarkEnd w:id="285"/>
      <w:bookmarkEnd w:id="286"/>
    </w:p>
    <w:p w14:paraId="05A70113">
      <w:pPr>
        <w:pStyle w:val="5"/>
        <w:snapToGrid w:val="0"/>
        <w:spacing w:line="360" w:lineRule="auto"/>
        <w:rPr>
          <w:rFonts w:ascii="宋体" w:hAnsi="宋体"/>
          <w:snapToGrid w:val="0"/>
          <w:color w:val="auto"/>
          <w:highlight w:val="none"/>
        </w:rPr>
      </w:pPr>
      <w:bookmarkStart w:id="287" w:name="_Toc14165"/>
      <w:bookmarkStart w:id="288" w:name="_Toc277082571"/>
      <w:bookmarkStart w:id="289" w:name="_Toc483489688"/>
      <w:bookmarkStart w:id="290" w:name="_Toc15149"/>
      <w:bookmarkStart w:id="291" w:name="_Toc200513145"/>
      <w:bookmarkStart w:id="292" w:name="_Toc493602419"/>
      <w:bookmarkStart w:id="293" w:name="_Toc16000395"/>
      <w:bookmarkStart w:id="294" w:name="_Toc14693"/>
      <w:bookmarkStart w:id="295" w:name="_Toc1102"/>
      <w:bookmarkStart w:id="296" w:name="_Toc224103336"/>
      <w:bookmarkStart w:id="297" w:name="_Toc287607765"/>
      <w:r>
        <w:rPr>
          <w:rFonts w:hint="eastAsia" w:ascii="宋体" w:hAnsi="宋体"/>
          <w:snapToGrid w:val="0"/>
          <w:color w:val="auto"/>
          <w:highlight w:val="none"/>
        </w:rPr>
        <w:t>3.1  比选申请文件的组成</w:t>
      </w:r>
      <w:bookmarkEnd w:id="287"/>
      <w:bookmarkEnd w:id="288"/>
      <w:bookmarkEnd w:id="289"/>
      <w:bookmarkEnd w:id="290"/>
      <w:bookmarkEnd w:id="291"/>
      <w:bookmarkEnd w:id="292"/>
      <w:bookmarkEnd w:id="293"/>
      <w:bookmarkEnd w:id="294"/>
      <w:bookmarkEnd w:id="295"/>
      <w:bookmarkEnd w:id="296"/>
      <w:bookmarkEnd w:id="297"/>
    </w:p>
    <w:p w14:paraId="04219A7B">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3.1.1 </w:t>
      </w:r>
      <w:r>
        <w:rPr>
          <w:rFonts w:hint="eastAsia" w:ascii="宋体" w:hAnsi="宋体" w:cs="MingLiU"/>
          <w:snapToGrid w:val="0"/>
          <w:color w:val="auto"/>
          <w:kern w:val="0"/>
          <w:szCs w:val="21"/>
          <w:highlight w:val="none"/>
        </w:rPr>
        <w:t>比选申请文件应包括下列内容：</w:t>
      </w:r>
    </w:p>
    <w:p w14:paraId="730003C9">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（1）比选申请函；</w:t>
      </w:r>
    </w:p>
    <w:p w14:paraId="31F2F422">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（2）法定代表人身份证明或附有法定代表人身份证明的授权委托书；</w:t>
      </w:r>
    </w:p>
    <w:p w14:paraId="5E215D69">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（3）资格审查资料；</w:t>
      </w:r>
    </w:p>
    <w:p w14:paraId="0144CCB3">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4</w:t>
      </w:r>
      <w:r>
        <w:rPr>
          <w:rFonts w:hint="eastAsia" w:ascii="宋体" w:hAnsi="宋体" w:cs="MingLiU"/>
          <w:snapToGrid w:val="0"/>
          <w:color w:val="auto"/>
          <w:kern w:val="0"/>
          <w:szCs w:val="21"/>
          <w:highlight w:val="none"/>
        </w:rPr>
        <w:t>）技术文件</w:t>
      </w:r>
    </w:p>
    <w:p w14:paraId="3EBDDD3B">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5</w:t>
      </w:r>
      <w:r>
        <w:rPr>
          <w:rFonts w:hint="eastAsia" w:ascii="宋体" w:hAnsi="宋体" w:cs="MingLiU"/>
          <w:snapToGrid w:val="0"/>
          <w:color w:val="auto"/>
          <w:kern w:val="0"/>
          <w:szCs w:val="21"/>
          <w:highlight w:val="none"/>
        </w:rPr>
        <w:t>）比选申请人须知前附表规定的其他材料。</w:t>
      </w:r>
    </w:p>
    <w:p w14:paraId="1B2EF5F3">
      <w:pPr>
        <w:pStyle w:val="5"/>
        <w:snapToGrid w:val="0"/>
        <w:spacing w:line="360" w:lineRule="auto"/>
        <w:rPr>
          <w:rFonts w:ascii="宋体" w:hAnsi="宋体"/>
          <w:snapToGrid w:val="0"/>
          <w:color w:val="auto"/>
          <w:highlight w:val="none"/>
        </w:rPr>
      </w:pPr>
      <w:bookmarkStart w:id="298" w:name="_Toc483489689"/>
      <w:bookmarkStart w:id="299" w:name="_Toc6702"/>
      <w:bookmarkStart w:id="300" w:name="_Toc32228"/>
      <w:bookmarkStart w:id="301" w:name="_Toc493602420"/>
      <w:bookmarkStart w:id="302" w:name="_Toc30746"/>
      <w:bookmarkStart w:id="303" w:name="_Toc200513146"/>
      <w:bookmarkStart w:id="304" w:name="_Toc17086"/>
      <w:bookmarkStart w:id="305" w:name="_Toc224103337"/>
      <w:bookmarkStart w:id="306" w:name="_Toc277082572"/>
      <w:bookmarkStart w:id="307" w:name="_Toc16000396"/>
      <w:bookmarkStart w:id="308" w:name="_Toc287607766"/>
      <w:r>
        <w:rPr>
          <w:rFonts w:hint="eastAsia" w:ascii="宋体" w:hAnsi="宋体"/>
          <w:snapToGrid w:val="0"/>
          <w:color w:val="auto"/>
          <w:highlight w:val="none"/>
        </w:rPr>
        <w:t>3.2  比选申请报价</w:t>
      </w:r>
      <w:bookmarkEnd w:id="298"/>
      <w:bookmarkEnd w:id="299"/>
      <w:bookmarkEnd w:id="300"/>
      <w:bookmarkEnd w:id="301"/>
      <w:bookmarkEnd w:id="302"/>
      <w:bookmarkEnd w:id="303"/>
      <w:bookmarkEnd w:id="304"/>
      <w:bookmarkEnd w:id="305"/>
      <w:bookmarkEnd w:id="306"/>
      <w:bookmarkEnd w:id="307"/>
      <w:bookmarkEnd w:id="308"/>
    </w:p>
    <w:p w14:paraId="2E5CAABF">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按前附表规定执行。  </w:t>
      </w:r>
    </w:p>
    <w:p w14:paraId="28D6E009">
      <w:pPr>
        <w:pStyle w:val="5"/>
        <w:snapToGrid w:val="0"/>
        <w:spacing w:line="360" w:lineRule="auto"/>
        <w:rPr>
          <w:rFonts w:ascii="宋体" w:hAnsi="宋体"/>
          <w:snapToGrid w:val="0"/>
          <w:color w:val="auto"/>
          <w:highlight w:val="none"/>
        </w:rPr>
      </w:pPr>
      <w:bookmarkStart w:id="309" w:name="_Toc16000397"/>
      <w:bookmarkStart w:id="310" w:name="_Toc200513147"/>
      <w:bookmarkStart w:id="311" w:name="_Toc30689"/>
      <w:bookmarkStart w:id="312" w:name="_Toc287607767"/>
      <w:bookmarkStart w:id="313" w:name="_Toc14945"/>
      <w:bookmarkStart w:id="314" w:name="_Toc1329"/>
      <w:bookmarkStart w:id="315" w:name="_Toc277082573"/>
      <w:bookmarkStart w:id="316" w:name="_Toc27685"/>
      <w:bookmarkStart w:id="317" w:name="_Toc483489690"/>
      <w:bookmarkStart w:id="318" w:name="_Toc224103338"/>
      <w:bookmarkStart w:id="319" w:name="_Toc493602421"/>
      <w:r>
        <w:rPr>
          <w:rFonts w:hint="eastAsia" w:ascii="宋体" w:hAnsi="宋体"/>
          <w:snapToGrid w:val="0"/>
          <w:color w:val="auto"/>
          <w:highlight w:val="none"/>
        </w:rPr>
        <w:t xml:space="preserve">3.3  </w:t>
      </w:r>
      <w:r>
        <w:rPr>
          <w:rFonts w:hint="eastAsia" w:ascii="宋体" w:hAnsi="宋体" w:cs="MingLiU"/>
          <w:snapToGrid w:val="0"/>
          <w:color w:val="auto"/>
          <w:szCs w:val="21"/>
          <w:highlight w:val="none"/>
        </w:rPr>
        <w:t>比选申请</w:t>
      </w:r>
      <w:r>
        <w:rPr>
          <w:rFonts w:hint="eastAsia" w:ascii="宋体" w:hAnsi="宋体"/>
          <w:snapToGrid w:val="0"/>
          <w:color w:val="auto"/>
          <w:highlight w:val="none"/>
        </w:rPr>
        <w:t>有效期</w:t>
      </w:r>
      <w:bookmarkEnd w:id="309"/>
      <w:bookmarkEnd w:id="310"/>
      <w:bookmarkEnd w:id="311"/>
      <w:bookmarkEnd w:id="312"/>
      <w:bookmarkEnd w:id="313"/>
      <w:bookmarkEnd w:id="314"/>
      <w:bookmarkEnd w:id="315"/>
      <w:bookmarkEnd w:id="316"/>
      <w:bookmarkEnd w:id="317"/>
      <w:bookmarkEnd w:id="318"/>
      <w:bookmarkEnd w:id="319"/>
    </w:p>
    <w:p w14:paraId="23379B28">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3.3.1  </w:t>
      </w:r>
      <w:r>
        <w:rPr>
          <w:rFonts w:hint="eastAsia" w:ascii="宋体" w:hAnsi="宋体" w:cs="MingLiU"/>
          <w:snapToGrid w:val="0"/>
          <w:color w:val="auto"/>
          <w:kern w:val="0"/>
          <w:szCs w:val="21"/>
          <w:highlight w:val="none"/>
        </w:rPr>
        <w:t>在比选申请人须知前附表规定的比选申请有效期内，比选申请人不得要求撤销或修改其比选申请文件。</w:t>
      </w:r>
    </w:p>
    <w:p w14:paraId="5B84C9FE">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比选申请有效期的，比选人以书面形式通知所有比选申请人延长比选申请有效期。比选申请人同意延长的，应相应延长其比选申请保证金的有效期，但不得要求或被允许修改或撤销其比选申请文件；比选申请人拒绝延长的，其比选申请失效，但比选申请人有权收回其比选证金。</w:t>
      </w:r>
    </w:p>
    <w:p w14:paraId="5C33A070">
      <w:pPr>
        <w:autoSpaceDE w:val="0"/>
        <w:autoSpaceDN w:val="0"/>
        <w:adjustRightInd w:val="0"/>
        <w:snapToGrid w:val="0"/>
        <w:spacing w:line="360" w:lineRule="auto"/>
        <w:ind w:firstLine="420"/>
        <w:rPr>
          <w:rFonts w:ascii="宋体" w:hAnsi="宋体" w:cs="MingLiU"/>
          <w:snapToGrid w:val="0"/>
          <w:color w:val="auto"/>
          <w:kern w:val="0"/>
          <w:szCs w:val="21"/>
          <w:highlight w:val="none"/>
        </w:rPr>
      </w:pPr>
    </w:p>
    <w:p w14:paraId="439CD7E0">
      <w:pPr>
        <w:pStyle w:val="5"/>
        <w:snapToGrid w:val="0"/>
        <w:spacing w:line="360" w:lineRule="auto"/>
        <w:rPr>
          <w:rFonts w:ascii="宋体" w:hAnsi="宋体"/>
          <w:snapToGrid w:val="0"/>
          <w:color w:val="auto"/>
          <w:highlight w:val="none"/>
        </w:rPr>
      </w:pPr>
      <w:bookmarkStart w:id="320" w:name="_Toc22608"/>
      <w:bookmarkStart w:id="321" w:name="_Toc14053"/>
      <w:bookmarkStart w:id="322" w:name="_Toc277082574"/>
      <w:bookmarkStart w:id="323" w:name="_Toc483489691"/>
      <w:bookmarkStart w:id="324" w:name="_Toc17490"/>
      <w:bookmarkStart w:id="325" w:name="_Toc16000398"/>
      <w:bookmarkStart w:id="326" w:name="_Toc200513148"/>
      <w:bookmarkStart w:id="327" w:name="_Toc287607768"/>
      <w:bookmarkStart w:id="328" w:name="_Toc28947"/>
      <w:bookmarkStart w:id="329" w:name="_Toc493602422"/>
      <w:bookmarkStart w:id="330" w:name="_Toc224103339"/>
      <w:r>
        <w:rPr>
          <w:rFonts w:hint="eastAsia" w:ascii="宋体" w:hAnsi="宋体"/>
          <w:snapToGrid w:val="0"/>
          <w:color w:val="auto"/>
          <w:highlight w:val="none"/>
        </w:rPr>
        <w:t xml:space="preserve">3.4  </w:t>
      </w:r>
      <w:r>
        <w:rPr>
          <w:rFonts w:hint="eastAsia" w:ascii="宋体" w:hAnsi="宋体" w:cs="MingLiU"/>
          <w:snapToGrid w:val="0"/>
          <w:color w:val="auto"/>
          <w:szCs w:val="21"/>
          <w:highlight w:val="none"/>
        </w:rPr>
        <w:t>比选申请保证金</w:t>
      </w:r>
      <w:bookmarkEnd w:id="320"/>
      <w:bookmarkEnd w:id="321"/>
      <w:bookmarkEnd w:id="322"/>
      <w:bookmarkEnd w:id="323"/>
      <w:bookmarkEnd w:id="324"/>
      <w:bookmarkEnd w:id="325"/>
      <w:bookmarkEnd w:id="326"/>
      <w:bookmarkEnd w:id="327"/>
      <w:bookmarkEnd w:id="328"/>
      <w:bookmarkEnd w:id="329"/>
      <w:bookmarkEnd w:id="330"/>
    </w:p>
    <w:p w14:paraId="5D00D28D">
      <w:pP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3.4.1  </w:t>
      </w:r>
      <w:r>
        <w:rPr>
          <w:rFonts w:hint="eastAsia" w:ascii="宋体" w:hAnsi="宋体" w:cs="MingLiU"/>
          <w:snapToGrid w:val="0"/>
          <w:color w:val="auto"/>
          <w:kern w:val="0"/>
          <w:szCs w:val="21"/>
          <w:highlight w:val="none"/>
        </w:rPr>
        <w:t>比选申请人在递交比选申请文件的同时，应按比选申请人须知前附表规定的金额、担保形式和第八章“比选申请文件格式”规定的比选申请保证金格式递保证金，并作为其比选申请文件的组成部分。</w:t>
      </w:r>
    </w:p>
    <w:p w14:paraId="26F58746">
      <w:pPr>
        <w:autoSpaceDE w:val="0"/>
        <w:autoSpaceDN w:val="0"/>
        <w:adjustRightInd w:val="0"/>
        <w:snapToGrid w:val="0"/>
        <w:spacing w:line="360" w:lineRule="auto"/>
        <w:ind w:left="13" w:leftChars="6" w:firstLine="405" w:firstLineChars="193"/>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3.4.2  </w:t>
      </w:r>
      <w:r>
        <w:rPr>
          <w:rFonts w:hint="eastAsia" w:ascii="宋体" w:hAnsi="宋体" w:cs="MingLiU"/>
          <w:snapToGrid w:val="0"/>
          <w:color w:val="auto"/>
          <w:kern w:val="0"/>
          <w:szCs w:val="21"/>
          <w:highlight w:val="none"/>
        </w:rPr>
        <w:t>比选申请人不按本章第</w:t>
      </w:r>
      <w:r>
        <w:rPr>
          <w:rFonts w:hint="eastAsia" w:ascii="宋体" w:hAnsi="宋体"/>
          <w:snapToGrid w:val="0"/>
          <w:color w:val="auto"/>
          <w:kern w:val="0"/>
          <w:szCs w:val="21"/>
          <w:highlight w:val="none"/>
        </w:rPr>
        <w:t xml:space="preserve"> 3.4.1 </w:t>
      </w:r>
      <w:r>
        <w:rPr>
          <w:rFonts w:hint="eastAsia" w:ascii="宋体" w:hAnsi="宋体" w:cs="MingLiU"/>
          <w:snapToGrid w:val="0"/>
          <w:color w:val="auto"/>
          <w:kern w:val="0"/>
          <w:szCs w:val="21"/>
          <w:highlight w:val="none"/>
        </w:rPr>
        <w:t>项要求提交比选申请保证金的，不予接收比选申请文件，取消其比选申请资格。</w:t>
      </w:r>
    </w:p>
    <w:p w14:paraId="3804C968">
      <w:pPr>
        <w:autoSpaceDE w:val="0"/>
        <w:autoSpaceDN w:val="0"/>
        <w:adjustRightInd w:val="0"/>
        <w:snapToGrid w:val="0"/>
        <w:spacing w:line="360" w:lineRule="auto"/>
        <w:ind w:left="13" w:leftChars="6" w:firstLine="405" w:firstLineChars="193"/>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3.4.3  比选申请保证金退还：见比选申请人须知前附表。</w:t>
      </w:r>
    </w:p>
    <w:p w14:paraId="6F53BACE">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3.4.4  有下列情形之一的，比选申请保证金将不予退还：</w:t>
      </w:r>
    </w:p>
    <w:p w14:paraId="73F85BAF">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（1）比选申请人在规定的比选申请有效期内撤销或修改其比选申请文件；</w:t>
      </w:r>
    </w:p>
    <w:p w14:paraId="5F306A28">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（2）公示的中选人在收到中选通知书后，无正当理由拒签合同协议书或未按比选文件规定提交履约保证金。</w:t>
      </w:r>
    </w:p>
    <w:p w14:paraId="076C4518">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（3）比选文件有其他规定不予退还的情形。</w:t>
      </w:r>
    </w:p>
    <w:p w14:paraId="4EF5007F">
      <w:pPr>
        <w:pStyle w:val="5"/>
        <w:snapToGrid w:val="0"/>
        <w:spacing w:line="360" w:lineRule="auto"/>
        <w:rPr>
          <w:rFonts w:ascii="宋体" w:hAnsi="宋体"/>
          <w:snapToGrid w:val="0"/>
          <w:color w:val="auto"/>
          <w:highlight w:val="none"/>
        </w:rPr>
      </w:pPr>
      <w:bookmarkStart w:id="331" w:name="_Toc4203"/>
      <w:bookmarkStart w:id="332" w:name="_Toc224103341"/>
      <w:bookmarkStart w:id="333" w:name="_Toc8283"/>
      <w:bookmarkStart w:id="334" w:name="_Toc16000399"/>
      <w:bookmarkStart w:id="335" w:name="_Toc483489692"/>
      <w:bookmarkStart w:id="336" w:name="_Toc338"/>
      <w:bookmarkStart w:id="337" w:name="_Toc200513150"/>
      <w:bookmarkStart w:id="338" w:name="_Toc493602423"/>
      <w:bookmarkStart w:id="339" w:name="_Toc287607770"/>
      <w:bookmarkStart w:id="340" w:name="_Toc15837"/>
      <w:bookmarkStart w:id="341" w:name="_Toc277082576"/>
      <w:r>
        <w:rPr>
          <w:rFonts w:hint="eastAsia" w:ascii="宋体" w:hAnsi="宋体"/>
          <w:snapToGrid w:val="0"/>
          <w:color w:val="auto"/>
          <w:highlight w:val="none"/>
        </w:rPr>
        <w:t>3.5  资格审查资料</w:t>
      </w:r>
      <w:bookmarkEnd w:id="331"/>
      <w:bookmarkEnd w:id="332"/>
      <w:bookmarkEnd w:id="333"/>
      <w:bookmarkEnd w:id="334"/>
      <w:bookmarkEnd w:id="335"/>
      <w:bookmarkEnd w:id="336"/>
      <w:bookmarkEnd w:id="337"/>
      <w:bookmarkEnd w:id="338"/>
      <w:bookmarkEnd w:id="339"/>
      <w:bookmarkEnd w:id="340"/>
      <w:bookmarkEnd w:id="341"/>
    </w:p>
    <w:p w14:paraId="36C08BC8">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rPr>
        <w:t>比选申请</w:t>
      </w:r>
      <w:r>
        <w:rPr>
          <w:rFonts w:ascii="宋体" w:hAnsi="宋体"/>
          <w:color w:val="auto"/>
          <w:szCs w:val="21"/>
          <w:highlight w:val="none"/>
        </w:rPr>
        <w:t>人</w:t>
      </w:r>
      <w:r>
        <w:rPr>
          <w:rFonts w:hint="eastAsia" w:ascii="宋体" w:hAnsi="宋体"/>
          <w:color w:val="auto"/>
          <w:szCs w:val="21"/>
          <w:highlight w:val="none"/>
        </w:rPr>
        <w:t>应附</w:t>
      </w:r>
      <w:r>
        <w:rPr>
          <w:rFonts w:hint="eastAsia" w:ascii="宋体" w:hAnsi="宋体"/>
          <w:color w:val="auto"/>
          <w:kern w:val="0"/>
          <w:szCs w:val="21"/>
          <w:highlight w:val="none"/>
        </w:rPr>
        <w:t>比选申请人须知前附表第1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6EB9FA7B">
      <w:pPr>
        <w:pStyle w:val="5"/>
        <w:snapToGrid w:val="0"/>
        <w:spacing w:line="360" w:lineRule="auto"/>
        <w:rPr>
          <w:rFonts w:ascii="宋体" w:hAnsi="宋体"/>
          <w:snapToGrid w:val="0"/>
          <w:color w:val="auto"/>
          <w:highlight w:val="none"/>
        </w:rPr>
      </w:pPr>
      <w:bookmarkStart w:id="342" w:name="_Toc483489693"/>
      <w:bookmarkStart w:id="343" w:name="_Toc16000400"/>
      <w:bookmarkStart w:id="344" w:name="_Toc13813"/>
      <w:bookmarkStart w:id="345" w:name="_Toc26577"/>
      <w:bookmarkStart w:id="346" w:name="_Toc224103342"/>
      <w:bookmarkStart w:id="347" w:name="_Toc19047"/>
      <w:bookmarkStart w:id="348" w:name="_Toc1056"/>
      <w:bookmarkStart w:id="349" w:name="_Toc287607771"/>
      <w:bookmarkStart w:id="350" w:name="_Toc200513151"/>
      <w:bookmarkStart w:id="351" w:name="_Toc277082577"/>
      <w:bookmarkStart w:id="352" w:name="_Toc493602424"/>
      <w:r>
        <w:rPr>
          <w:rFonts w:hint="eastAsia" w:ascii="宋体" w:hAnsi="宋体"/>
          <w:snapToGrid w:val="0"/>
          <w:color w:val="auto"/>
          <w:highlight w:val="none"/>
        </w:rPr>
        <w:t>3.6  备选比选方案</w:t>
      </w:r>
      <w:bookmarkEnd w:id="342"/>
      <w:bookmarkEnd w:id="343"/>
      <w:bookmarkEnd w:id="344"/>
      <w:bookmarkEnd w:id="345"/>
      <w:bookmarkEnd w:id="346"/>
      <w:bookmarkEnd w:id="347"/>
      <w:bookmarkEnd w:id="348"/>
      <w:bookmarkEnd w:id="349"/>
      <w:bookmarkEnd w:id="350"/>
      <w:bookmarkEnd w:id="351"/>
      <w:bookmarkEnd w:id="352"/>
    </w:p>
    <w:p w14:paraId="2B35A7C8">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除比选申请人须知前附表另有规定外，比选申请人不得递交备选比选申请方案。允许比选申请人递交备选比选申请方案的，只有中选人所递交的备选比选申请方案方可予以考虑。评标委员会认为中选人的备选比选申请方案优于其按照比选文件要求编制的比选申请方案的，比选人可以接受该备选比选申请方案。</w:t>
      </w:r>
    </w:p>
    <w:p w14:paraId="54363FA1">
      <w:pPr>
        <w:pStyle w:val="5"/>
        <w:snapToGrid w:val="0"/>
        <w:spacing w:line="360" w:lineRule="auto"/>
        <w:rPr>
          <w:rFonts w:ascii="宋体" w:hAnsi="宋体"/>
          <w:snapToGrid w:val="0"/>
          <w:color w:val="auto"/>
          <w:highlight w:val="none"/>
        </w:rPr>
      </w:pPr>
      <w:bookmarkStart w:id="353" w:name="_Toc277082578"/>
      <w:bookmarkStart w:id="354" w:name="_Toc20678"/>
      <w:bookmarkStart w:id="355" w:name="_Toc19633"/>
      <w:bookmarkStart w:id="356" w:name="_Toc4963"/>
      <w:bookmarkStart w:id="357" w:name="_Toc287607772"/>
      <w:bookmarkStart w:id="358" w:name="_Toc483489694"/>
      <w:bookmarkStart w:id="359" w:name="_Toc200513152"/>
      <w:bookmarkStart w:id="360" w:name="_Toc20140"/>
      <w:bookmarkStart w:id="361" w:name="_Toc493602425"/>
      <w:bookmarkStart w:id="362" w:name="_Toc224103343"/>
      <w:bookmarkStart w:id="363" w:name="_Toc16000401"/>
      <w:r>
        <w:rPr>
          <w:rFonts w:hint="eastAsia" w:ascii="宋体" w:hAnsi="宋体"/>
          <w:snapToGrid w:val="0"/>
          <w:color w:val="auto"/>
          <w:highlight w:val="none"/>
        </w:rPr>
        <w:t>3.7  比选申请文件的编制</w:t>
      </w:r>
      <w:bookmarkEnd w:id="353"/>
      <w:bookmarkEnd w:id="354"/>
      <w:bookmarkEnd w:id="355"/>
      <w:bookmarkEnd w:id="356"/>
      <w:bookmarkEnd w:id="357"/>
      <w:bookmarkEnd w:id="358"/>
      <w:bookmarkEnd w:id="359"/>
      <w:bookmarkEnd w:id="360"/>
      <w:bookmarkEnd w:id="361"/>
      <w:bookmarkEnd w:id="362"/>
      <w:bookmarkEnd w:id="363"/>
    </w:p>
    <w:p w14:paraId="220CFE88">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3.7.1  比选申请文件应按第八章“比选申请文件格式”进行编写，如有必要，可以增加附页，作为比选申请文件的组成部分。其中，比选申请函附录在满足比选文件实质性要求的基础上，可以提出比比选文件要求更有利于比选人的承诺。</w:t>
      </w:r>
    </w:p>
    <w:p w14:paraId="76F9A94A">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3.7.2  比选申请文件应当对比选文件有关工期、比选申请有效期、质量要求、技术标准和要求、比选范围等实质性内容做出响应。</w:t>
      </w:r>
    </w:p>
    <w:p w14:paraId="329BFDD5">
      <w:pPr>
        <w:autoSpaceDE w:val="0"/>
        <w:autoSpaceDN w:val="0"/>
        <w:adjustRightInd w:val="0"/>
        <w:snapToGrid w:val="0"/>
        <w:spacing w:line="360" w:lineRule="auto"/>
        <w:ind w:firstLine="424" w:firstLineChars="202"/>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3.7.3  比选申请文件应用不褪色的材料书写或打印，并由比选申请人的法定代表人或其委托代理人签名、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签名或盖章的具体要求见比选申请人须知前附表。</w:t>
      </w:r>
    </w:p>
    <w:p w14:paraId="782BD327">
      <w:pPr>
        <w:autoSpaceDE w:val="0"/>
        <w:autoSpaceDN w:val="0"/>
        <w:adjustRightInd w:val="0"/>
        <w:snapToGrid w:val="0"/>
        <w:spacing w:before="1" w:line="360" w:lineRule="auto"/>
        <w:ind w:right="-164" w:firstLine="426"/>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3.7.4  </w:t>
      </w: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人须知前附表，《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w:t>
      </w:r>
      <w:r>
        <w:rPr>
          <w:rFonts w:hint="eastAsia" w:ascii="宋体" w:hAnsi="宋体" w:cs="MingLiU"/>
          <w:snapToGrid w:val="0"/>
          <w:color w:val="auto"/>
          <w:kern w:val="0"/>
          <w:szCs w:val="21"/>
          <w:highlight w:val="none"/>
        </w:rPr>
        <w:t>正本和副本的封面上应清楚地标记“正本”或“副本”的字样，正本和副本封面均须加盖单位法人章（鲜章）。当副本和正本不一致时，以正本为准。</w:t>
      </w:r>
    </w:p>
    <w:p w14:paraId="59434307">
      <w:pPr>
        <w:autoSpaceDE w:val="0"/>
        <w:autoSpaceDN w:val="0"/>
        <w:adjustRightInd w:val="0"/>
        <w:snapToGrid w:val="0"/>
        <w:spacing w:before="10" w:line="360" w:lineRule="auto"/>
        <w:ind w:right="-109" w:firstLine="426"/>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3.7.5  比选申请文件的正本与副本应分别装订成册，并编制目录，具体装订要求见比选申请人须知前附表规定</w:t>
      </w:r>
    </w:p>
    <w:p w14:paraId="1728AEC9">
      <w:pPr>
        <w:pStyle w:val="4"/>
        <w:rPr>
          <w:rFonts w:ascii="宋体" w:hAnsi="宋体"/>
          <w:snapToGrid w:val="0"/>
          <w:color w:val="auto"/>
          <w:highlight w:val="none"/>
        </w:rPr>
      </w:pPr>
      <w:bookmarkStart w:id="364" w:name="_Toc277082579"/>
      <w:bookmarkStart w:id="365" w:name="_Toc287607773"/>
      <w:bookmarkStart w:id="366" w:name="_Toc224103344"/>
      <w:bookmarkStart w:id="367" w:name="_Toc493602426"/>
      <w:bookmarkStart w:id="368" w:name="_Toc200513153"/>
      <w:bookmarkStart w:id="369" w:name="_Toc16000402"/>
      <w:bookmarkStart w:id="370" w:name="_Toc31435"/>
      <w:bookmarkStart w:id="371" w:name="_Toc24534"/>
      <w:bookmarkStart w:id="372" w:name="_Toc9414"/>
      <w:r>
        <w:rPr>
          <w:rFonts w:hint="eastAsia" w:ascii="宋体" w:hAnsi="宋体"/>
          <w:snapToGrid w:val="0"/>
          <w:color w:val="auto"/>
          <w:highlight w:val="none"/>
        </w:rPr>
        <w:t xml:space="preserve">4.  </w:t>
      </w:r>
      <w:bookmarkEnd w:id="364"/>
      <w:bookmarkEnd w:id="365"/>
      <w:bookmarkEnd w:id="366"/>
      <w:bookmarkEnd w:id="367"/>
      <w:bookmarkEnd w:id="368"/>
      <w:r>
        <w:rPr>
          <w:rFonts w:hint="eastAsia" w:ascii="宋体" w:hAnsi="宋体"/>
          <w:snapToGrid w:val="0"/>
          <w:color w:val="auto"/>
          <w:highlight w:val="none"/>
        </w:rPr>
        <w:t>比选申请</w:t>
      </w:r>
      <w:bookmarkEnd w:id="369"/>
      <w:bookmarkEnd w:id="370"/>
      <w:bookmarkEnd w:id="371"/>
      <w:bookmarkEnd w:id="372"/>
    </w:p>
    <w:p w14:paraId="143149A1">
      <w:pPr>
        <w:pStyle w:val="5"/>
        <w:snapToGrid w:val="0"/>
        <w:spacing w:line="360" w:lineRule="auto"/>
        <w:rPr>
          <w:rFonts w:ascii="宋体" w:hAnsi="宋体"/>
          <w:snapToGrid w:val="0"/>
          <w:color w:val="auto"/>
          <w:highlight w:val="none"/>
        </w:rPr>
      </w:pPr>
      <w:bookmarkStart w:id="373" w:name="_Toc13239"/>
      <w:bookmarkStart w:id="374" w:name="_Toc483489696"/>
      <w:bookmarkStart w:id="375" w:name="_Toc200513154"/>
      <w:bookmarkStart w:id="376" w:name="_Toc277082580"/>
      <w:bookmarkStart w:id="377" w:name="_Toc8923"/>
      <w:bookmarkStart w:id="378" w:name="_Toc24712"/>
      <w:bookmarkStart w:id="379" w:name="_Toc224103345"/>
      <w:bookmarkStart w:id="380" w:name="_Toc493602427"/>
      <w:bookmarkStart w:id="381" w:name="_Toc287607774"/>
      <w:bookmarkStart w:id="382" w:name="_Toc16000403"/>
      <w:bookmarkStart w:id="383" w:name="_Toc2940"/>
      <w:r>
        <w:rPr>
          <w:rFonts w:hint="eastAsia" w:ascii="宋体" w:hAnsi="宋体"/>
          <w:snapToGrid w:val="0"/>
          <w:color w:val="auto"/>
          <w:highlight w:val="none"/>
        </w:rPr>
        <w:t>4.1  比选申请文件的密封和标记</w:t>
      </w:r>
      <w:bookmarkEnd w:id="373"/>
      <w:bookmarkEnd w:id="374"/>
      <w:bookmarkEnd w:id="375"/>
      <w:bookmarkEnd w:id="376"/>
      <w:bookmarkEnd w:id="377"/>
      <w:bookmarkEnd w:id="378"/>
      <w:bookmarkEnd w:id="379"/>
      <w:bookmarkEnd w:id="380"/>
      <w:bookmarkEnd w:id="381"/>
      <w:bookmarkEnd w:id="382"/>
      <w:bookmarkEnd w:id="383"/>
    </w:p>
    <w:p w14:paraId="79D33460">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bookmarkStart w:id="384" w:name="_Toc200513155"/>
      <w:r>
        <w:rPr>
          <w:rFonts w:hint="eastAsia" w:ascii="宋体" w:hAnsi="宋体" w:cs="MingLiU"/>
          <w:snapToGrid w:val="0"/>
          <w:color w:val="auto"/>
          <w:kern w:val="0"/>
          <w:szCs w:val="21"/>
          <w:highlight w:val="none"/>
        </w:rPr>
        <w:t>4.1.1  比选申请文件的正本与副本密封见比选申请人须知前附表。</w:t>
      </w:r>
    </w:p>
    <w:p w14:paraId="1D689D40">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4.1.2  比选申请文件的封套上应写明的内容见比选申请人须知前附表。</w:t>
      </w:r>
    </w:p>
    <w:p w14:paraId="062ED9A4">
      <w:pPr>
        <w:autoSpaceDE w:val="0"/>
        <w:autoSpaceDN w:val="0"/>
        <w:adjustRightInd w:val="0"/>
        <w:snapToGrid w:val="0"/>
        <w:spacing w:line="360" w:lineRule="auto"/>
        <w:ind w:left="13" w:leftChars="6" w:firstLine="344" w:firstLineChars="164"/>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4.1.3  未按本章第 4.1.1 项或第 4.1.2 项要求密封和加写标记的比选申请文件，比选人不予受理。</w:t>
      </w:r>
    </w:p>
    <w:p w14:paraId="5B63D213">
      <w:pPr>
        <w:pStyle w:val="5"/>
        <w:snapToGrid w:val="0"/>
        <w:spacing w:line="360" w:lineRule="auto"/>
        <w:rPr>
          <w:rFonts w:ascii="宋体" w:hAnsi="宋体"/>
          <w:snapToGrid w:val="0"/>
          <w:color w:val="auto"/>
          <w:highlight w:val="none"/>
        </w:rPr>
      </w:pPr>
      <w:bookmarkStart w:id="385" w:name="_Toc13530"/>
      <w:bookmarkStart w:id="386" w:name="_Toc277082581"/>
      <w:bookmarkStart w:id="387" w:name="_Toc17647"/>
      <w:bookmarkStart w:id="388" w:name="_Toc493602428"/>
      <w:bookmarkStart w:id="389" w:name="_Toc22907"/>
      <w:bookmarkStart w:id="390" w:name="_Toc224103346"/>
      <w:bookmarkStart w:id="391" w:name="_Toc287607775"/>
      <w:bookmarkStart w:id="392" w:name="_Toc5427"/>
      <w:bookmarkStart w:id="393" w:name="_Toc483489697"/>
      <w:bookmarkStart w:id="394" w:name="_Toc16000404"/>
      <w:r>
        <w:rPr>
          <w:rFonts w:hint="eastAsia" w:ascii="宋体" w:hAnsi="宋体"/>
          <w:snapToGrid w:val="0"/>
          <w:color w:val="auto"/>
          <w:highlight w:val="none"/>
        </w:rPr>
        <w:t>4.2  比选申请文件的递交</w:t>
      </w:r>
      <w:bookmarkEnd w:id="384"/>
      <w:bookmarkEnd w:id="385"/>
      <w:bookmarkEnd w:id="386"/>
      <w:bookmarkEnd w:id="387"/>
      <w:bookmarkEnd w:id="388"/>
      <w:bookmarkEnd w:id="389"/>
      <w:bookmarkEnd w:id="390"/>
      <w:bookmarkEnd w:id="391"/>
      <w:bookmarkEnd w:id="392"/>
      <w:bookmarkEnd w:id="393"/>
      <w:bookmarkEnd w:id="394"/>
    </w:p>
    <w:p w14:paraId="507D1DB0">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4.2.1  </w:t>
      </w:r>
      <w:r>
        <w:rPr>
          <w:rFonts w:hint="eastAsia" w:ascii="宋体" w:hAnsi="宋体" w:cs="MingLiU"/>
          <w:snapToGrid w:val="0"/>
          <w:color w:val="auto"/>
          <w:kern w:val="0"/>
          <w:szCs w:val="21"/>
          <w:highlight w:val="none"/>
        </w:rPr>
        <w:t>比选申请人应在本章第</w:t>
      </w:r>
      <w:r>
        <w:rPr>
          <w:rFonts w:hint="eastAsia" w:ascii="宋体" w:hAnsi="宋体"/>
          <w:snapToGrid w:val="0"/>
          <w:color w:val="auto"/>
          <w:kern w:val="0"/>
          <w:szCs w:val="21"/>
          <w:highlight w:val="none"/>
        </w:rPr>
        <w:t xml:space="preserve"> 2.2.2 </w:t>
      </w:r>
      <w:r>
        <w:rPr>
          <w:rFonts w:hint="eastAsia" w:ascii="宋体" w:hAnsi="宋体" w:cs="MingLiU"/>
          <w:snapToGrid w:val="0"/>
          <w:color w:val="auto"/>
          <w:kern w:val="0"/>
          <w:szCs w:val="21"/>
          <w:highlight w:val="none"/>
        </w:rPr>
        <w:t>项规定的比选申请截止时间前递交比选申请文件。</w:t>
      </w:r>
    </w:p>
    <w:p w14:paraId="3B25B1C5">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4.2.2  </w:t>
      </w:r>
      <w:r>
        <w:rPr>
          <w:rFonts w:hint="eastAsia" w:ascii="宋体" w:hAnsi="宋体" w:cs="MingLiU"/>
          <w:snapToGrid w:val="0"/>
          <w:color w:val="auto"/>
          <w:kern w:val="0"/>
          <w:szCs w:val="21"/>
          <w:highlight w:val="none"/>
        </w:rPr>
        <w:t>比选申请人递交比选申请文件的地点：见比选申请人须知前附表。</w:t>
      </w:r>
    </w:p>
    <w:p w14:paraId="3B9DFC9C">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4.2.3  </w:t>
      </w:r>
      <w:r>
        <w:rPr>
          <w:rFonts w:hint="eastAsia" w:ascii="宋体" w:hAnsi="宋体" w:cs="MingLiU"/>
          <w:snapToGrid w:val="0"/>
          <w:color w:val="auto"/>
          <w:kern w:val="0"/>
          <w:szCs w:val="21"/>
          <w:highlight w:val="none"/>
        </w:rPr>
        <w:t>除比选申请人须知前附表另有规定外，比选申请人所递交的比选申请文件不予退还。</w:t>
      </w:r>
    </w:p>
    <w:p w14:paraId="22B1AF61">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4.2.4  </w:t>
      </w:r>
      <w:r>
        <w:rPr>
          <w:rFonts w:hint="eastAsia" w:ascii="宋体" w:hAnsi="宋体" w:cs="MingLiU"/>
          <w:snapToGrid w:val="0"/>
          <w:color w:val="auto"/>
          <w:kern w:val="0"/>
          <w:szCs w:val="21"/>
          <w:highlight w:val="none"/>
        </w:rPr>
        <w:t>比选人收到比选申请文件后，向比选申请人出具签收凭证。</w:t>
      </w:r>
    </w:p>
    <w:p w14:paraId="774D8BA1">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4.2.5  </w:t>
      </w:r>
      <w:r>
        <w:rPr>
          <w:rFonts w:hint="eastAsia" w:ascii="宋体" w:hAnsi="宋体" w:cs="MingLiU"/>
          <w:snapToGrid w:val="0"/>
          <w:color w:val="auto"/>
          <w:kern w:val="0"/>
          <w:szCs w:val="21"/>
          <w:highlight w:val="none"/>
        </w:rPr>
        <w:t>逾期送达的或者未送达指定地点的比选申请文件，比选人不予受理。</w:t>
      </w:r>
    </w:p>
    <w:p w14:paraId="747E5D03">
      <w:pPr>
        <w:pStyle w:val="5"/>
        <w:snapToGrid w:val="0"/>
        <w:spacing w:line="360" w:lineRule="auto"/>
        <w:rPr>
          <w:rFonts w:ascii="宋体" w:hAnsi="宋体"/>
          <w:snapToGrid w:val="0"/>
          <w:color w:val="auto"/>
          <w:highlight w:val="none"/>
        </w:rPr>
      </w:pPr>
      <w:bookmarkStart w:id="395" w:name="_Toc224103347"/>
      <w:bookmarkStart w:id="396" w:name="_Toc277082582"/>
      <w:bookmarkStart w:id="397" w:name="_Toc493602429"/>
      <w:bookmarkStart w:id="398" w:name="_Toc28984"/>
      <w:bookmarkStart w:id="399" w:name="_Toc483489698"/>
      <w:bookmarkStart w:id="400" w:name="_Toc22073"/>
      <w:bookmarkStart w:id="401" w:name="_Toc22604"/>
      <w:bookmarkStart w:id="402" w:name="_Toc16000405"/>
      <w:bookmarkStart w:id="403" w:name="_Toc287607776"/>
      <w:bookmarkStart w:id="404" w:name="_Toc24867"/>
      <w:bookmarkStart w:id="405" w:name="_Toc200513156"/>
      <w:r>
        <w:rPr>
          <w:rFonts w:hint="eastAsia" w:ascii="宋体" w:hAnsi="宋体"/>
          <w:snapToGrid w:val="0"/>
          <w:color w:val="auto"/>
          <w:highlight w:val="none"/>
        </w:rPr>
        <w:t>4.3  比选申请文件的修改与撤回</w:t>
      </w:r>
      <w:bookmarkEnd w:id="395"/>
      <w:bookmarkEnd w:id="396"/>
      <w:bookmarkEnd w:id="397"/>
      <w:bookmarkEnd w:id="398"/>
      <w:bookmarkEnd w:id="399"/>
      <w:bookmarkEnd w:id="400"/>
      <w:bookmarkEnd w:id="401"/>
      <w:bookmarkEnd w:id="402"/>
      <w:bookmarkEnd w:id="403"/>
      <w:bookmarkEnd w:id="404"/>
      <w:bookmarkEnd w:id="405"/>
    </w:p>
    <w:p w14:paraId="6C8F355F">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4.3.1  </w:t>
      </w:r>
      <w:r>
        <w:rPr>
          <w:rFonts w:hint="eastAsia" w:ascii="宋体" w:hAnsi="宋体" w:cs="MingLiU"/>
          <w:snapToGrid w:val="0"/>
          <w:color w:val="auto"/>
          <w:kern w:val="0"/>
          <w:szCs w:val="21"/>
          <w:highlight w:val="none"/>
        </w:rPr>
        <w:t>在本章第</w:t>
      </w:r>
      <w:r>
        <w:rPr>
          <w:rFonts w:hint="eastAsia" w:ascii="宋体" w:hAnsi="宋体"/>
          <w:snapToGrid w:val="0"/>
          <w:color w:val="auto"/>
          <w:kern w:val="0"/>
          <w:szCs w:val="21"/>
          <w:highlight w:val="none"/>
        </w:rPr>
        <w:t>2.2.2</w:t>
      </w:r>
      <w:r>
        <w:rPr>
          <w:rFonts w:hint="eastAsia" w:ascii="宋体" w:hAnsi="宋体" w:cs="MingLiU"/>
          <w:snapToGrid w:val="0"/>
          <w:color w:val="auto"/>
          <w:kern w:val="0"/>
          <w:szCs w:val="21"/>
          <w:highlight w:val="none"/>
        </w:rPr>
        <w:t>项规定的比选申请截止时间前，比选申请人可以修改或撤回已递交的比选申请文件，但应以书面形式通知比选人。</w:t>
      </w:r>
    </w:p>
    <w:p w14:paraId="12A3BE51">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4.3.2  </w:t>
      </w:r>
      <w:r>
        <w:rPr>
          <w:rFonts w:hint="eastAsia" w:ascii="宋体" w:hAnsi="宋体" w:cs="MingLiU"/>
          <w:snapToGrid w:val="0"/>
          <w:color w:val="auto"/>
          <w:kern w:val="0"/>
          <w:szCs w:val="21"/>
          <w:highlight w:val="none"/>
        </w:rPr>
        <w:t>比选申请人修改或撤回已递交比选申请文件的书面通知应按照本章第</w:t>
      </w:r>
      <w:r>
        <w:rPr>
          <w:rFonts w:hint="eastAsia" w:ascii="宋体" w:hAnsi="宋体"/>
          <w:snapToGrid w:val="0"/>
          <w:color w:val="auto"/>
          <w:kern w:val="0"/>
          <w:szCs w:val="21"/>
          <w:highlight w:val="none"/>
        </w:rPr>
        <w:t>3.7.3</w:t>
      </w:r>
      <w:r>
        <w:rPr>
          <w:rFonts w:hint="eastAsia" w:ascii="宋体" w:hAnsi="宋体" w:cs="MingLiU"/>
          <w:snapToGrid w:val="0"/>
          <w:color w:val="auto"/>
          <w:kern w:val="0"/>
          <w:szCs w:val="21"/>
          <w:highlight w:val="none"/>
        </w:rPr>
        <w:t>项的要求签名或盖章。比选人收到书面通知后，向比选申请人出具签收凭证。</w:t>
      </w:r>
    </w:p>
    <w:p w14:paraId="695FFE25">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4.3.3  </w:t>
      </w:r>
      <w:r>
        <w:rPr>
          <w:rFonts w:hint="eastAsia" w:ascii="宋体" w:hAnsi="宋体" w:cs="MingLiU"/>
          <w:snapToGrid w:val="0"/>
          <w:color w:val="auto"/>
          <w:kern w:val="0"/>
          <w:szCs w:val="21"/>
          <w:highlight w:val="none"/>
        </w:rPr>
        <w:t>修改的内容为比选申请文件的组成部分。修改的比选申请文件应按照本章第</w:t>
      </w:r>
      <w:r>
        <w:rPr>
          <w:rFonts w:hint="eastAsia" w:ascii="宋体" w:hAnsi="宋体"/>
          <w:snapToGrid w:val="0"/>
          <w:color w:val="auto"/>
          <w:kern w:val="0"/>
          <w:szCs w:val="21"/>
          <w:highlight w:val="none"/>
        </w:rPr>
        <w:t>3</w:t>
      </w:r>
      <w:r>
        <w:rPr>
          <w:rFonts w:hint="eastAsia" w:ascii="宋体" w:hAnsi="宋体" w:cs="MingLiU"/>
          <w:snapToGrid w:val="0"/>
          <w:color w:val="auto"/>
          <w:kern w:val="0"/>
          <w:szCs w:val="21"/>
          <w:highlight w:val="none"/>
        </w:rPr>
        <w:t>条、第</w:t>
      </w:r>
      <w:r>
        <w:rPr>
          <w:rFonts w:hint="eastAsia" w:ascii="宋体" w:hAnsi="宋体"/>
          <w:snapToGrid w:val="0"/>
          <w:color w:val="auto"/>
          <w:kern w:val="0"/>
          <w:szCs w:val="21"/>
          <w:highlight w:val="none"/>
        </w:rPr>
        <w:t>4</w:t>
      </w:r>
      <w:r>
        <w:rPr>
          <w:rFonts w:hint="eastAsia" w:ascii="宋体" w:hAnsi="宋体" w:cs="MingLiU"/>
          <w:snapToGrid w:val="0"/>
          <w:color w:val="auto"/>
          <w:kern w:val="0"/>
          <w:szCs w:val="21"/>
          <w:highlight w:val="none"/>
        </w:rPr>
        <w:t>条规定进行编制、密封、标记和递交，并标明“修改”字样。</w:t>
      </w:r>
    </w:p>
    <w:p w14:paraId="02D5D563">
      <w:pPr>
        <w:pStyle w:val="4"/>
        <w:rPr>
          <w:rFonts w:ascii="宋体" w:hAnsi="宋体"/>
          <w:snapToGrid w:val="0"/>
          <w:color w:val="auto"/>
          <w:highlight w:val="none"/>
        </w:rPr>
      </w:pPr>
      <w:bookmarkStart w:id="406" w:name="_Toc493602430"/>
      <w:bookmarkStart w:id="407" w:name="_Toc277082583"/>
      <w:bookmarkStart w:id="408" w:name="_Toc224103348"/>
      <w:bookmarkStart w:id="409" w:name="_Toc200513157"/>
      <w:bookmarkStart w:id="410" w:name="_Toc287607777"/>
      <w:bookmarkStart w:id="411" w:name="_Toc29453"/>
      <w:bookmarkStart w:id="412" w:name="_Toc24799"/>
      <w:bookmarkStart w:id="413" w:name="_Toc16000406"/>
      <w:bookmarkStart w:id="414" w:name="_Toc30978"/>
      <w:r>
        <w:rPr>
          <w:rFonts w:hint="eastAsia" w:ascii="宋体" w:hAnsi="宋体"/>
          <w:snapToGrid w:val="0"/>
          <w:color w:val="auto"/>
          <w:highlight w:val="none"/>
        </w:rPr>
        <w:t xml:space="preserve">5.  </w:t>
      </w:r>
      <w:bookmarkEnd w:id="406"/>
      <w:bookmarkEnd w:id="407"/>
      <w:bookmarkEnd w:id="408"/>
      <w:bookmarkEnd w:id="409"/>
      <w:bookmarkEnd w:id="410"/>
      <w:r>
        <w:rPr>
          <w:rFonts w:hint="eastAsia" w:ascii="宋体" w:hAnsi="宋体"/>
          <w:snapToGrid w:val="0"/>
          <w:color w:val="auto"/>
          <w:highlight w:val="none"/>
        </w:rPr>
        <w:t>比选</w:t>
      </w:r>
      <w:bookmarkEnd w:id="411"/>
      <w:bookmarkEnd w:id="412"/>
      <w:bookmarkEnd w:id="413"/>
      <w:bookmarkEnd w:id="414"/>
    </w:p>
    <w:p w14:paraId="2DB7E2B5">
      <w:pPr>
        <w:pStyle w:val="5"/>
        <w:snapToGrid w:val="0"/>
        <w:spacing w:line="360" w:lineRule="auto"/>
        <w:rPr>
          <w:rFonts w:ascii="宋体" w:hAnsi="宋体"/>
          <w:snapToGrid w:val="0"/>
          <w:color w:val="auto"/>
          <w:highlight w:val="none"/>
        </w:rPr>
      </w:pPr>
      <w:bookmarkStart w:id="415" w:name="_Toc493602431"/>
      <w:bookmarkStart w:id="416" w:name="_Toc21460"/>
      <w:bookmarkStart w:id="417" w:name="_Toc12066"/>
      <w:bookmarkStart w:id="418" w:name="_Toc277082584"/>
      <w:bookmarkStart w:id="419" w:name="_Toc2349"/>
      <w:bookmarkStart w:id="420" w:name="_Toc483489700"/>
      <w:bookmarkStart w:id="421" w:name="_Toc224103349"/>
      <w:bookmarkStart w:id="422" w:name="_Toc287607778"/>
      <w:bookmarkStart w:id="423" w:name="_Toc12798"/>
      <w:bookmarkStart w:id="424" w:name="_Toc200513158"/>
      <w:bookmarkStart w:id="425" w:name="_Toc16000407"/>
      <w:r>
        <w:rPr>
          <w:rFonts w:hint="eastAsia" w:ascii="宋体" w:hAnsi="宋体"/>
          <w:snapToGrid w:val="0"/>
          <w:color w:val="auto"/>
          <w:highlight w:val="none"/>
        </w:rPr>
        <w:t>5.1  比选时间和地点</w:t>
      </w:r>
      <w:bookmarkEnd w:id="415"/>
      <w:bookmarkEnd w:id="416"/>
      <w:bookmarkEnd w:id="417"/>
      <w:bookmarkEnd w:id="418"/>
      <w:bookmarkEnd w:id="419"/>
      <w:bookmarkEnd w:id="420"/>
      <w:bookmarkEnd w:id="421"/>
      <w:bookmarkEnd w:id="422"/>
      <w:bookmarkEnd w:id="423"/>
      <w:bookmarkEnd w:id="424"/>
      <w:bookmarkEnd w:id="425"/>
    </w:p>
    <w:p w14:paraId="60FFA334">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比选人在本章第</w:t>
      </w:r>
      <w:r>
        <w:rPr>
          <w:rFonts w:hint="eastAsia" w:ascii="宋体" w:hAnsi="宋体"/>
          <w:snapToGrid w:val="0"/>
          <w:color w:val="auto"/>
          <w:kern w:val="0"/>
          <w:szCs w:val="21"/>
          <w:highlight w:val="none"/>
        </w:rPr>
        <w:t xml:space="preserve"> 2.2.2 </w:t>
      </w:r>
      <w:r>
        <w:rPr>
          <w:rFonts w:hint="eastAsia" w:ascii="宋体" w:hAnsi="宋体" w:cs="MingLiU"/>
          <w:snapToGrid w:val="0"/>
          <w:color w:val="auto"/>
          <w:kern w:val="0"/>
          <w:szCs w:val="21"/>
          <w:highlight w:val="none"/>
        </w:rPr>
        <w:t>项规定的比选申请截止时间（比选时间）和比选申请人须知前附表规定的地点公开开标，并邀请所有比选申请人的法定代表人或其委托代理人准时参加。</w:t>
      </w:r>
    </w:p>
    <w:p w14:paraId="3D5E7776">
      <w:pPr>
        <w:pStyle w:val="5"/>
        <w:snapToGrid w:val="0"/>
        <w:spacing w:line="360" w:lineRule="auto"/>
        <w:rPr>
          <w:rFonts w:ascii="宋体" w:hAnsi="宋体"/>
          <w:snapToGrid w:val="0"/>
          <w:color w:val="auto"/>
          <w:highlight w:val="none"/>
        </w:rPr>
      </w:pPr>
      <w:bookmarkStart w:id="426" w:name="_Toc31842"/>
      <w:bookmarkStart w:id="427" w:name="_Toc277082585"/>
      <w:bookmarkStart w:id="428" w:name="_Toc287607779"/>
      <w:bookmarkStart w:id="429" w:name="_Toc200513159"/>
      <w:bookmarkStart w:id="430" w:name="_Toc493602432"/>
      <w:bookmarkStart w:id="431" w:name="_Toc7370"/>
      <w:bookmarkStart w:id="432" w:name="_Toc29350"/>
      <w:bookmarkStart w:id="433" w:name="_Toc224103350"/>
      <w:bookmarkStart w:id="434" w:name="_Toc483489701"/>
      <w:bookmarkStart w:id="435" w:name="_Toc16000408"/>
      <w:bookmarkStart w:id="436" w:name="_Toc2554"/>
      <w:r>
        <w:rPr>
          <w:rFonts w:hint="eastAsia" w:ascii="宋体" w:hAnsi="宋体"/>
          <w:snapToGrid w:val="0"/>
          <w:color w:val="auto"/>
          <w:highlight w:val="none"/>
        </w:rPr>
        <w:t>5.2  比选程序</w:t>
      </w:r>
      <w:bookmarkEnd w:id="426"/>
      <w:bookmarkEnd w:id="427"/>
      <w:bookmarkEnd w:id="428"/>
      <w:bookmarkEnd w:id="429"/>
      <w:bookmarkEnd w:id="430"/>
      <w:bookmarkEnd w:id="431"/>
      <w:bookmarkEnd w:id="432"/>
      <w:bookmarkEnd w:id="433"/>
      <w:bookmarkEnd w:id="434"/>
      <w:bookmarkEnd w:id="435"/>
      <w:bookmarkEnd w:id="436"/>
    </w:p>
    <w:p w14:paraId="533B50B6">
      <w:pPr>
        <w:pStyle w:val="4"/>
        <w:rPr>
          <w:rFonts w:ascii="宋体" w:hAnsi="宋体"/>
          <w:b w:val="0"/>
          <w:bCs w:val="0"/>
          <w:snapToGrid w:val="0"/>
          <w:color w:val="auto"/>
          <w:sz w:val="21"/>
          <w:szCs w:val="21"/>
          <w:highlight w:val="none"/>
        </w:rPr>
      </w:pPr>
      <w:bookmarkStart w:id="437" w:name="_Toc9692"/>
      <w:bookmarkStart w:id="438" w:name="_Toc16000409"/>
      <w:bookmarkStart w:id="439" w:name="_Toc17505"/>
      <w:bookmarkStart w:id="440" w:name="_Toc4284"/>
      <w:bookmarkStart w:id="441" w:name="_Toc200513160"/>
      <w:bookmarkStart w:id="442" w:name="_Toc277082586"/>
      <w:bookmarkStart w:id="443" w:name="_Toc493602433"/>
      <w:bookmarkStart w:id="444" w:name="_Toc287607780"/>
      <w:bookmarkStart w:id="445" w:name="_Toc224103351"/>
      <w:r>
        <w:rPr>
          <w:rFonts w:hint="eastAsia" w:ascii="宋体" w:hAnsi="宋体"/>
          <w:b w:val="0"/>
          <w:bCs w:val="0"/>
          <w:snapToGrid w:val="0"/>
          <w:color w:val="auto"/>
          <w:sz w:val="21"/>
          <w:szCs w:val="21"/>
          <w:highlight w:val="none"/>
        </w:rPr>
        <w:t>见比选申请人须知前附表。</w:t>
      </w:r>
      <w:bookmarkEnd w:id="437"/>
      <w:bookmarkEnd w:id="438"/>
      <w:bookmarkEnd w:id="439"/>
      <w:bookmarkEnd w:id="440"/>
    </w:p>
    <w:p w14:paraId="56BEE093">
      <w:pPr>
        <w:pStyle w:val="4"/>
        <w:rPr>
          <w:rFonts w:ascii="宋体" w:hAnsi="宋体"/>
          <w:snapToGrid w:val="0"/>
          <w:color w:val="auto"/>
          <w:highlight w:val="none"/>
        </w:rPr>
      </w:pPr>
      <w:bookmarkStart w:id="446" w:name="_Toc16000410"/>
      <w:bookmarkStart w:id="447" w:name="_Toc17009"/>
      <w:bookmarkStart w:id="448" w:name="_Toc12206"/>
      <w:bookmarkStart w:id="449" w:name="_Toc18885"/>
      <w:r>
        <w:rPr>
          <w:rFonts w:hint="eastAsia" w:ascii="宋体" w:hAnsi="宋体"/>
          <w:snapToGrid w:val="0"/>
          <w:color w:val="auto"/>
          <w:highlight w:val="none"/>
        </w:rPr>
        <w:t>6.  评标</w:t>
      </w:r>
      <w:bookmarkEnd w:id="441"/>
      <w:bookmarkEnd w:id="442"/>
      <w:bookmarkEnd w:id="443"/>
      <w:bookmarkEnd w:id="444"/>
      <w:bookmarkEnd w:id="445"/>
      <w:bookmarkEnd w:id="446"/>
      <w:bookmarkEnd w:id="447"/>
      <w:bookmarkEnd w:id="448"/>
      <w:bookmarkEnd w:id="449"/>
    </w:p>
    <w:p w14:paraId="445670EE">
      <w:pPr>
        <w:pStyle w:val="5"/>
        <w:snapToGrid w:val="0"/>
        <w:spacing w:line="360" w:lineRule="auto"/>
        <w:rPr>
          <w:rFonts w:ascii="宋体" w:hAnsi="宋体"/>
          <w:snapToGrid w:val="0"/>
          <w:color w:val="auto"/>
          <w:highlight w:val="none"/>
        </w:rPr>
      </w:pPr>
      <w:bookmarkStart w:id="450" w:name="_Toc224103352"/>
      <w:bookmarkStart w:id="451" w:name="_Toc27517"/>
      <w:bookmarkStart w:id="452" w:name="_Toc200513161"/>
      <w:bookmarkStart w:id="453" w:name="_Toc277082587"/>
      <w:bookmarkStart w:id="454" w:name="_Toc15661"/>
      <w:bookmarkStart w:id="455" w:name="_Toc287607781"/>
      <w:bookmarkStart w:id="456" w:name="_Toc16000411"/>
      <w:bookmarkStart w:id="457" w:name="_Toc493602434"/>
      <w:bookmarkStart w:id="458" w:name="_Toc483489703"/>
      <w:bookmarkStart w:id="459" w:name="_Toc18629"/>
      <w:bookmarkStart w:id="460" w:name="_Toc24648"/>
      <w:r>
        <w:rPr>
          <w:rFonts w:hint="eastAsia" w:ascii="宋体" w:hAnsi="宋体"/>
          <w:snapToGrid w:val="0"/>
          <w:color w:val="auto"/>
          <w:highlight w:val="none"/>
        </w:rPr>
        <w:t>6.1  评标委员会</w:t>
      </w:r>
      <w:bookmarkEnd w:id="450"/>
      <w:bookmarkEnd w:id="451"/>
      <w:bookmarkEnd w:id="452"/>
      <w:bookmarkEnd w:id="453"/>
      <w:bookmarkEnd w:id="454"/>
      <w:bookmarkEnd w:id="455"/>
      <w:bookmarkEnd w:id="456"/>
      <w:bookmarkEnd w:id="457"/>
      <w:bookmarkEnd w:id="458"/>
      <w:bookmarkEnd w:id="459"/>
      <w:bookmarkEnd w:id="460"/>
    </w:p>
    <w:p w14:paraId="5543C6AC">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6.1.1  </w:t>
      </w:r>
      <w:r>
        <w:rPr>
          <w:rFonts w:hint="eastAsia" w:ascii="宋体" w:hAnsi="宋体" w:cs="MingLiU"/>
          <w:snapToGrid w:val="0"/>
          <w:color w:val="auto"/>
          <w:kern w:val="0"/>
          <w:szCs w:val="21"/>
          <w:highlight w:val="none"/>
        </w:rPr>
        <w:t>评标由比选人依法组建的评标委员会负责。评标委员会成员人数以及技术、经济等方面专家的确定方式见比选申请人须知前附表。</w:t>
      </w:r>
    </w:p>
    <w:p w14:paraId="5733FCF1">
      <w:pPr>
        <w:autoSpaceDE w:val="0"/>
        <w:autoSpaceDN w:val="0"/>
        <w:adjustRightInd w:val="0"/>
        <w:snapToGrid w:val="0"/>
        <w:spacing w:line="360" w:lineRule="auto"/>
        <w:ind w:firstLine="420" w:firstLineChars="20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6.1.2  </w:t>
      </w:r>
      <w:r>
        <w:rPr>
          <w:rFonts w:hint="eastAsia" w:ascii="宋体" w:hAnsi="宋体" w:cs="MingLiU"/>
          <w:snapToGrid w:val="0"/>
          <w:color w:val="auto"/>
          <w:kern w:val="0"/>
          <w:szCs w:val="21"/>
          <w:highlight w:val="none"/>
        </w:rPr>
        <w:t>评标委员会成员有下列情形之一的，应当回避：</w:t>
      </w:r>
    </w:p>
    <w:p w14:paraId="48520A0C">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（1）比选人或比选申请人的主要负责人的近亲属；</w:t>
      </w:r>
    </w:p>
    <w:p w14:paraId="7A9816AB">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（2）项目主管部门或者行政监督部门的人员；</w:t>
      </w:r>
    </w:p>
    <w:p w14:paraId="12ADC1D9">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（3）与比选申请人有利害关系，可能影响对比选申请公正评审的；</w:t>
      </w:r>
    </w:p>
    <w:p w14:paraId="29A943CE">
      <w:pPr>
        <w:autoSpaceDE w:val="0"/>
        <w:autoSpaceDN w:val="0"/>
        <w:adjustRightInd w:val="0"/>
        <w:snapToGrid w:val="0"/>
        <w:spacing w:line="360" w:lineRule="auto"/>
        <w:ind w:firstLine="363" w:firstLineChars="173"/>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（4）曾因在比选、评标以及其他与比选、投标有关活动中从事违法行为而受过行政处罚或刑事处罚的。</w:t>
      </w:r>
    </w:p>
    <w:p w14:paraId="47927AB1">
      <w:pPr>
        <w:pStyle w:val="5"/>
        <w:snapToGrid w:val="0"/>
        <w:spacing w:line="360" w:lineRule="auto"/>
        <w:rPr>
          <w:rFonts w:ascii="宋体" w:hAnsi="宋体"/>
          <w:snapToGrid w:val="0"/>
          <w:color w:val="auto"/>
          <w:highlight w:val="none"/>
        </w:rPr>
      </w:pPr>
      <w:bookmarkStart w:id="461" w:name="_Toc13338"/>
      <w:bookmarkStart w:id="462" w:name="_Toc224103353"/>
      <w:bookmarkStart w:id="463" w:name="_Toc200513162"/>
      <w:bookmarkStart w:id="464" w:name="_Toc483489704"/>
      <w:bookmarkStart w:id="465" w:name="_Toc22340"/>
      <w:bookmarkStart w:id="466" w:name="_Toc16000412"/>
      <w:bookmarkStart w:id="467" w:name="_Toc8542"/>
      <w:bookmarkStart w:id="468" w:name="_Toc277082588"/>
      <w:bookmarkStart w:id="469" w:name="_Toc287607782"/>
      <w:bookmarkStart w:id="470" w:name="_Toc29786"/>
      <w:bookmarkStart w:id="471" w:name="_Toc493602435"/>
      <w:r>
        <w:rPr>
          <w:rFonts w:hint="eastAsia" w:ascii="宋体" w:hAnsi="宋体"/>
          <w:snapToGrid w:val="0"/>
          <w:color w:val="auto"/>
          <w:highlight w:val="none"/>
        </w:rPr>
        <w:t>6.2  评标原则</w:t>
      </w:r>
      <w:bookmarkEnd w:id="461"/>
      <w:bookmarkEnd w:id="462"/>
      <w:bookmarkEnd w:id="463"/>
      <w:bookmarkEnd w:id="464"/>
      <w:bookmarkEnd w:id="465"/>
      <w:bookmarkEnd w:id="466"/>
      <w:bookmarkEnd w:id="467"/>
      <w:bookmarkEnd w:id="468"/>
      <w:bookmarkEnd w:id="469"/>
      <w:bookmarkEnd w:id="470"/>
      <w:bookmarkEnd w:id="471"/>
    </w:p>
    <w:p w14:paraId="180CECE2">
      <w:pPr>
        <w:autoSpaceDE w:val="0"/>
        <w:autoSpaceDN w:val="0"/>
        <w:adjustRightInd w:val="0"/>
        <w:snapToGrid w:val="0"/>
        <w:spacing w:line="360" w:lineRule="auto"/>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评标活动遵循公平、公正、科学和择优的原则。</w:t>
      </w:r>
    </w:p>
    <w:p w14:paraId="69BD08F4">
      <w:pPr>
        <w:pStyle w:val="5"/>
        <w:snapToGrid w:val="0"/>
        <w:spacing w:line="360" w:lineRule="auto"/>
        <w:rPr>
          <w:rFonts w:ascii="宋体" w:hAnsi="宋体"/>
          <w:snapToGrid w:val="0"/>
          <w:color w:val="auto"/>
          <w:highlight w:val="none"/>
        </w:rPr>
      </w:pPr>
      <w:bookmarkStart w:id="472" w:name="_Toc224103354"/>
      <w:bookmarkStart w:id="473" w:name="_Toc200513163"/>
      <w:bookmarkStart w:id="474" w:name="_Toc16000413"/>
      <w:bookmarkStart w:id="475" w:name="_Toc483489705"/>
      <w:bookmarkStart w:id="476" w:name="_Toc493602436"/>
      <w:bookmarkStart w:id="477" w:name="_Toc277082589"/>
      <w:bookmarkStart w:id="478" w:name="_Toc26180"/>
      <w:bookmarkStart w:id="479" w:name="_Toc23681"/>
      <w:bookmarkStart w:id="480" w:name="_Toc287607783"/>
      <w:bookmarkStart w:id="481" w:name="_Toc5586"/>
      <w:bookmarkStart w:id="482" w:name="_Toc30323"/>
      <w:r>
        <w:rPr>
          <w:rFonts w:hint="eastAsia" w:ascii="宋体" w:hAnsi="宋体"/>
          <w:snapToGrid w:val="0"/>
          <w:color w:val="auto"/>
          <w:highlight w:val="none"/>
        </w:rPr>
        <w:t>6.3  评标</w:t>
      </w:r>
      <w:bookmarkEnd w:id="472"/>
      <w:bookmarkEnd w:id="473"/>
      <w:bookmarkEnd w:id="474"/>
      <w:bookmarkEnd w:id="475"/>
      <w:bookmarkEnd w:id="476"/>
      <w:bookmarkEnd w:id="477"/>
      <w:bookmarkEnd w:id="478"/>
      <w:bookmarkEnd w:id="479"/>
      <w:bookmarkEnd w:id="480"/>
      <w:bookmarkEnd w:id="481"/>
      <w:bookmarkEnd w:id="482"/>
    </w:p>
    <w:p w14:paraId="1CD978F3">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评标委员会按照第三章“评标办法”规定的方法、评审因素、标准和程序对比选申请文件进行评审。第三章“评标办法”没有规定的方法、评审因素和标准，不得作为评标依据。</w:t>
      </w:r>
    </w:p>
    <w:p w14:paraId="544B6703">
      <w:pPr>
        <w:pStyle w:val="4"/>
        <w:rPr>
          <w:rFonts w:ascii="宋体" w:hAnsi="宋体"/>
          <w:snapToGrid w:val="0"/>
          <w:color w:val="auto"/>
          <w:highlight w:val="none"/>
        </w:rPr>
      </w:pPr>
      <w:bookmarkStart w:id="483" w:name="_Toc224103355"/>
      <w:bookmarkStart w:id="484" w:name="_Toc287620723"/>
      <w:bookmarkStart w:id="485" w:name="_Toc277082590"/>
      <w:bookmarkStart w:id="486" w:name="_Toc200513164"/>
      <w:bookmarkStart w:id="487" w:name="_Toc16000414"/>
      <w:bookmarkStart w:id="488" w:name="_Toc493602437"/>
      <w:bookmarkStart w:id="489" w:name="_Toc27895"/>
      <w:bookmarkStart w:id="490" w:name="_Toc12127"/>
      <w:bookmarkStart w:id="491" w:name="_Toc287607784"/>
      <w:bookmarkStart w:id="492" w:name="_Toc2745"/>
      <w:r>
        <w:rPr>
          <w:rFonts w:hint="eastAsia" w:ascii="宋体" w:hAnsi="宋体"/>
          <w:snapToGrid w:val="0"/>
          <w:color w:val="auto"/>
          <w:highlight w:val="none"/>
        </w:rPr>
        <w:t>7.  合同授予</w:t>
      </w:r>
      <w:bookmarkEnd w:id="483"/>
      <w:bookmarkEnd w:id="484"/>
      <w:bookmarkEnd w:id="485"/>
      <w:bookmarkEnd w:id="486"/>
      <w:bookmarkEnd w:id="487"/>
      <w:bookmarkEnd w:id="488"/>
      <w:bookmarkEnd w:id="489"/>
      <w:bookmarkEnd w:id="490"/>
      <w:bookmarkEnd w:id="491"/>
      <w:bookmarkEnd w:id="492"/>
    </w:p>
    <w:p w14:paraId="1AC1357D">
      <w:pPr>
        <w:pStyle w:val="5"/>
        <w:snapToGrid w:val="0"/>
        <w:spacing w:line="360" w:lineRule="auto"/>
        <w:rPr>
          <w:rFonts w:ascii="宋体" w:hAnsi="宋体"/>
          <w:snapToGrid w:val="0"/>
          <w:color w:val="auto"/>
          <w:highlight w:val="none"/>
        </w:rPr>
      </w:pPr>
      <w:bookmarkStart w:id="493" w:name="_Toc6683"/>
      <w:bookmarkStart w:id="494" w:name="_Toc12301"/>
      <w:bookmarkStart w:id="495" w:name="_Toc287607785"/>
      <w:bookmarkStart w:id="496" w:name="_Toc483489707"/>
      <w:bookmarkStart w:id="497" w:name="_Toc21559"/>
      <w:bookmarkStart w:id="498" w:name="_Toc16000415"/>
      <w:bookmarkStart w:id="499" w:name="_Toc16218"/>
      <w:bookmarkStart w:id="500" w:name="_Toc200513165"/>
      <w:bookmarkStart w:id="501" w:name="_Toc224103356"/>
      <w:bookmarkStart w:id="502" w:name="_Toc277082591"/>
      <w:bookmarkStart w:id="503" w:name="_Toc493602438"/>
      <w:bookmarkStart w:id="504" w:name="_Toc287620724"/>
      <w:r>
        <w:rPr>
          <w:rFonts w:hint="eastAsia" w:ascii="宋体" w:hAnsi="宋体"/>
          <w:snapToGrid w:val="0"/>
          <w:color w:val="auto"/>
          <w:highlight w:val="none"/>
        </w:rPr>
        <w:t>7.1  定标方式</w:t>
      </w:r>
      <w:bookmarkEnd w:id="493"/>
      <w:bookmarkEnd w:id="494"/>
      <w:bookmarkEnd w:id="495"/>
      <w:bookmarkEnd w:id="496"/>
      <w:bookmarkEnd w:id="497"/>
      <w:bookmarkEnd w:id="498"/>
      <w:bookmarkEnd w:id="499"/>
      <w:bookmarkEnd w:id="500"/>
      <w:bookmarkEnd w:id="501"/>
      <w:bookmarkEnd w:id="502"/>
      <w:bookmarkEnd w:id="503"/>
      <w:bookmarkEnd w:id="504"/>
    </w:p>
    <w:p w14:paraId="38E2C3E0">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除比选申请人须知前附表规定评标委员会直接确定拟中选人外，比选人依据评标委员会推荐的中选候选人确定拟中选人，评标委员会推荐中选候选人的人数见比选申请人须知前附表。</w:t>
      </w:r>
    </w:p>
    <w:p w14:paraId="388461D0">
      <w:pPr>
        <w:pStyle w:val="5"/>
        <w:snapToGrid w:val="0"/>
        <w:spacing w:line="360" w:lineRule="auto"/>
        <w:rPr>
          <w:rFonts w:ascii="宋体" w:hAnsi="宋体"/>
          <w:snapToGrid w:val="0"/>
          <w:color w:val="auto"/>
          <w:highlight w:val="none"/>
        </w:rPr>
      </w:pPr>
      <w:bookmarkStart w:id="505" w:name="_Toc483489708"/>
      <w:bookmarkStart w:id="506" w:name="_Toc2313"/>
      <w:bookmarkStart w:id="507" w:name="_Toc27060"/>
      <w:bookmarkStart w:id="508" w:name="_Toc16000416"/>
      <w:bookmarkStart w:id="509" w:name="_Toc9071"/>
      <w:bookmarkStart w:id="510" w:name="_Toc277082592"/>
      <w:bookmarkStart w:id="511" w:name="_Toc493602439"/>
      <w:bookmarkStart w:id="512" w:name="_Toc200513166"/>
      <w:bookmarkStart w:id="513" w:name="_Toc287620725"/>
      <w:bookmarkStart w:id="514" w:name="_Toc287607786"/>
      <w:bookmarkStart w:id="515" w:name="_Toc224103357"/>
      <w:bookmarkStart w:id="516" w:name="_Toc10527"/>
      <w:r>
        <w:rPr>
          <w:rFonts w:hint="eastAsia" w:ascii="宋体" w:hAnsi="宋体"/>
          <w:snapToGrid w:val="0"/>
          <w:color w:val="auto"/>
          <w:highlight w:val="none"/>
        </w:rPr>
        <w:t>7.2  中选通知</w:t>
      </w:r>
      <w:bookmarkEnd w:id="505"/>
      <w:bookmarkEnd w:id="506"/>
      <w:bookmarkEnd w:id="507"/>
      <w:bookmarkEnd w:id="508"/>
      <w:bookmarkEnd w:id="509"/>
      <w:bookmarkEnd w:id="510"/>
      <w:bookmarkEnd w:id="511"/>
      <w:bookmarkEnd w:id="512"/>
      <w:bookmarkEnd w:id="513"/>
      <w:bookmarkEnd w:id="514"/>
      <w:bookmarkEnd w:id="515"/>
      <w:bookmarkEnd w:id="516"/>
    </w:p>
    <w:p w14:paraId="733FB07D">
      <w:pPr>
        <w:autoSpaceDE w:val="0"/>
        <w:autoSpaceDN w:val="0"/>
        <w:adjustRightInd w:val="0"/>
        <w:snapToGrid w:val="0"/>
        <w:spacing w:line="360" w:lineRule="auto"/>
        <w:ind w:firstLine="525" w:firstLineChars="25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7.2.1在中选公示期结束后，相关网站公示的中选人须在规定时间内按照比选文件约定缴纳相关费用和履行完毕比选文件规定的相关义务后，比选人以书面形式向公示的中选人发出中选通知书。如公示的中选人未履行比选文件规定的相关义务（除不可抗拒因素外）及未领取中选通知书，将视为无故弃选，列入不诚信单位名单，取消其中选资格，没收比选申请保证金，并按相关规定进行处理。</w:t>
      </w:r>
    </w:p>
    <w:p w14:paraId="21DF48B3">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7.2.2诚信记录查询：比选人有权对前三名中选候选人进行诚信查询，如发现前三名中选候选人中有不诚信行为的，比选人应取消其中选候选人资格，对其他中选候选人依序进行排名公示；如发现前三名中选候选人均有不诚信行为，将取消本次比选活动，由比选人重新组织比选；视情节轻重决定其比选申请保证金不予退还，并对其不诚信情况进行曝光，限制其进入本区招投标交易市场。</w:t>
      </w:r>
    </w:p>
    <w:p w14:paraId="40EF45F9">
      <w:pPr>
        <w:pStyle w:val="5"/>
        <w:snapToGrid w:val="0"/>
        <w:spacing w:line="360" w:lineRule="auto"/>
        <w:rPr>
          <w:rFonts w:ascii="宋体" w:hAnsi="宋体"/>
          <w:snapToGrid w:val="0"/>
          <w:color w:val="auto"/>
          <w:highlight w:val="none"/>
        </w:rPr>
      </w:pPr>
      <w:bookmarkStart w:id="517" w:name="_Toc277082593"/>
      <w:bookmarkStart w:id="518" w:name="_Toc17659"/>
      <w:bookmarkStart w:id="519" w:name="_Toc200513167"/>
      <w:bookmarkStart w:id="520" w:name="_Toc16000417"/>
      <w:bookmarkStart w:id="521" w:name="_Toc493602440"/>
      <w:bookmarkStart w:id="522" w:name="_Toc224103358"/>
      <w:bookmarkStart w:id="523" w:name="_Toc483489709"/>
      <w:bookmarkStart w:id="524" w:name="_Toc24221"/>
      <w:bookmarkStart w:id="525" w:name="_Toc21595"/>
      <w:bookmarkStart w:id="526" w:name="_Toc19659"/>
      <w:bookmarkStart w:id="527" w:name="_Toc287607787"/>
      <w:r>
        <w:rPr>
          <w:rFonts w:hint="eastAsia" w:ascii="宋体" w:hAnsi="宋体"/>
          <w:snapToGrid w:val="0"/>
          <w:color w:val="auto"/>
          <w:highlight w:val="none"/>
        </w:rPr>
        <w:t>7.3 履约担保</w:t>
      </w:r>
      <w:bookmarkEnd w:id="517"/>
      <w:bookmarkEnd w:id="518"/>
      <w:bookmarkEnd w:id="519"/>
      <w:bookmarkEnd w:id="520"/>
      <w:bookmarkEnd w:id="521"/>
      <w:bookmarkEnd w:id="522"/>
      <w:bookmarkEnd w:id="523"/>
      <w:bookmarkEnd w:id="524"/>
      <w:bookmarkEnd w:id="525"/>
      <w:bookmarkEnd w:id="526"/>
      <w:bookmarkEnd w:id="527"/>
    </w:p>
    <w:p w14:paraId="6690FF29">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7.3.1  </w:t>
      </w:r>
      <w:r>
        <w:rPr>
          <w:rFonts w:hint="eastAsia" w:ascii="宋体" w:hAnsi="宋体" w:cs="MingLiU"/>
          <w:snapToGrid w:val="0"/>
          <w:color w:val="auto"/>
          <w:kern w:val="0"/>
          <w:szCs w:val="21"/>
          <w:highlight w:val="none"/>
        </w:rPr>
        <w:t>在签订合同前，中选人应按比选申请人须知前附表规定的金额、担保形式和比选文件所相应规定提交履约担保。</w:t>
      </w:r>
    </w:p>
    <w:p w14:paraId="39E09A12">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7.3.2  </w:t>
      </w:r>
      <w:r>
        <w:rPr>
          <w:rFonts w:hint="eastAsia" w:ascii="宋体" w:hAnsi="宋体" w:cs="MingLiU"/>
          <w:snapToGrid w:val="0"/>
          <w:color w:val="auto"/>
          <w:kern w:val="0"/>
          <w:szCs w:val="21"/>
          <w:highlight w:val="none"/>
        </w:rPr>
        <w:t>中选人不能按本章第</w:t>
      </w:r>
      <w:r>
        <w:rPr>
          <w:rFonts w:hint="eastAsia" w:ascii="宋体" w:hAnsi="宋体"/>
          <w:snapToGrid w:val="0"/>
          <w:color w:val="auto"/>
          <w:kern w:val="0"/>
          <w:szCs w:val="21"/>
          <w:highlight w:val="none"/>
        </w:rPr>
        <w:t xml:space="preserve"> 7.3.1 </w:t>
      </w:r>
      <w:r>
        <w:rPr>
          <w:rFonts w:hint="eastAsia" w:ascii="宋体" w:hAnsi="宋体" w:cs="MingLiU"/>
          <w:snapToGrid w:val="0"/>
          <w:color w:val="auto"/>
          <w:kern w:val="0"/>
          <w:szCs w:val="21"/>
          <w:highlight w:val="none"/>
        </w:rPr>
        <w:t>项要求提交履约担保的，视为放弃中选，其比选申请保证金不予退还，给比选人造成的损失超过比选申请保证金数额的，中选人还应当对超过部分予以赔偿。</w:t>
      </w:r>
    </w:p>
    <w:p w14:paraId="628FA1A8">
      <w:pPr>
        <w:pStyle w:val="5"/>
        <w:snapToGrid w:val="0"/>
        <w:spacing w:line="360" w:lineRule="auto"/>
        <w:rPr>
          <w:rFonts w:ascii="宋体" w:hAnsi="宋体"/>
          <w:snapToGrid w:val="0"/>
          <w:color w:val="auto"/>
          <w:highlight w:val="none"/>
        </w:rPr>
      </w:pPr>
      <w:bookmarkStart w:id="528" w:name="_Toc14077"/>
      <w:bookmarkStart w:id="529" w:name="_Toc224103359"/>
      <w:bookmarkStart w:id="530" w:name="_Toc23413"/>
      <w:bookmarkStart w:id="531" w:name="_Toc483489710"/>
      <w:bookmarkStart w:id="532" w:name="_Toc200513168"/>
      <w:bookmarkStart w:id="533" w:name="_Toc5909"/>
      <w:bookmarkStart w:id="534" w:name="_Toc287607788"/>
      <w:bookmarkStart w:id="535" w:name="_Toc16000418"/>
      <w:bookmarkStart w:id="536" w:name="_Toc493602441"/>
      <w:bookmarkStart w:id="537" w:name="_Toc277082594"/>
      <w:bookmarkStart w:id="538" w:name="_Toc30109"/>
      <w:r>
        <w:rPr>
          <w:rFonts w:hint="eastAsia" w:ascii="宋体" w:hAnsi="宋体"/>
          <w:snapToGrid w:val="0"/>
          <w:color w:val="auto"/>
          <w:highlight w:val="none"/>
        </w:rPr>
        <w:t>7.4签订合同</w:t>
      </w:r>
      <w:bookmarkEnd w:id="528"/>
      <w:bookmarkEnd w:id="529"/>
      <w:bookmarkEnd w:id="530"/>
      <w:bookmarkEnd w:id="531"/>
      <w:bookmarkEnd w:id="532"/>
      <w:bookmarkEnd w:id="533"/>
      <w:bookmarkEnd w:id="534"/>
      <w:bookmarkEnd w:id="535"/>
      <w:bookmarkEnd w:id="536"/>
      <w:bookmarkEnd w:id="537"/>
      <w:bookmarkEnd w:id="538"/>
    </w:p>
    <w:p w14:paraId="26A813BC">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bookmarkStart w:id="539" w:name="_Toc200513169"/>
      <w:bookmarkStart w:id="540" w:name="_Toc277082595"/>
      <w:bookmarkStart w:id="541" w:name="_Toc224103360"/>
      <w:bookmarkStart w:id="542" w:name="_Toc287607789"/>
      <w:r>
        <w:rPr>
          <w:rFonts w:hint="eastAsia" w:ascii="宋体" w:hAnsi="宋体" w:cs="MingLiU"/>
          <w:snapToGrid w:val="0"/>
          <w:color w:val="auto"/>
          <w:kern w:val="0"/>
          <w:szCs w:val="21"/>
          <w:highlight w:val="none"/>
        </w:rPr>
        <w:t>7.4.1 比选人和中选人应当自中选通知书发出之日起1</w:t>
      </w:r>
      <w:r>
        <w:rPr>
          <w:rFonts w:hint="eastAsia" w:ascii="宋体" w:hAnsi="宋体"/>
          <w:b/>
          <w:color w:val="auto"/>
          <w:szCs w:val="21"/>
          <w:highlight w:val="none"/>
          <w:u w:val="single"/>
        </w:rPr>
        <w:t>5</w:t>
      </w:r>
      <w:r>
        <w:rPr>
          <w:rFonts w:hint="eastAsia" w:ascii="宋体" w:hAnsi="宋体" w:cs="MingLiU"/>
          <w:snapToGrid w:val="0"/>
          <w:color w:val="auto"/>
          <w:kern w:val="0"/>
          <w:szCs w:val="21"/>
          <w:highlight w:val="none"/>
        </w:rPr>
        <w:t>日内，根据比选文件和中选人的比选申请文件订立书面合同。中选人无正当理由拒签合同的，比选人取消其中选资格，其比选申请保证金不予退还；给比选人造成的损失超过比选申请保证金数额的，中选人还应当对超过部分予以赔偿。并将中选人此行为列入不诚信记录，作出相应处罚。</w:t>
      </w:r>
    </w:p>
    <w:p w14:paraId="60549DF7">
      <w:pPr>
        <w:spacing w:line="360" w:lineRule="auto"/>
        <w:rPr>
          <w:rFonts w:ascii="宋体" w:hAnsi="宋体" w:cs="MingLiU"/>
          <w:snapToGrid w:val="0"/>
          <w:color w:val="auto"/>
          <w:kern w:val="0"/>
          <w:szCs w:val="21"/>
          <w:highlight w:val="none"/>
        </w:rPr>
      </w:pPr>
      <w:bookmarkStart w:id="543" w:name="_Toc505075669"/>
      <w:bookmarkStart w:id="544" w:name="_Toc493602442"/>
      <w:bookmarkStart w:id="545" w:name="_Toc483489711"/>
      <w:bookmarkStart w:id="546" w:name="_Toc505075868"/>
      <w:bookmarkStart w:id="547" w:name="_Toc28067"/>
      <w:r>
        <w:rPr>
          <w:rFonts w:hint="eastAsia" w:ascii="宋体" w:hAnsi="宋体" w:cs="MingLiU"/>
          <w:snapToGrid w:val="0"/>
          <w:color w:val="auto"/>
          <w:kern w:val="0"/>
          <w:szCs w:val="21"/>
          <w:highlight w:val="none"/>
        </w:rPr>
        <w:t xml:space="preserve">    7.4.2 </w:t>
      </w:r>
      <w:bookmarkEnd w:id="543"/>
      <w:bookmarkEnd w:id="544"/>
      <w:bookmarkEnd w:id="545"/>
      <w:bookmarkEnd w:id="546"/>
      <w:bookmarkEnd w:id="547"/>
      <w:r>
        <w:rPr>
          <w:rFonts w:hint="eastAsia" w:ascii="宋体" w:hAnsi="宋体" w:cs="MingLiU"/>
          <w:snapToGrid w:val="0"/>
          <w:color w:val="auto"/>
          <w:kern w:val="0"/>
          <w:szCs w:val="21"/>
          <w:highlight w:val="none"/>
        </w:rPr>
        <w:t>须按照本比选文件</w:t>
      </w:r>
      <w:r>
        <w:rPr>
          <w:rFonts w:hint="eastAsia" w:ascii="宋体" w:hAnsi="宋体"/>
          <w:color w:val="auto"/>
          <w:kern w:val="44"/>
          <w:szCs w:val="21"/>
          <w:highlight w:val="none"/>
        </w:rPr>
        <w:t>第四章合同条款及格式的内容来编制合同，</w:t>
      </w:r>
      <w:r>
        <w:rPr>
          <w:rFonts w:hint="eastAsia" w:ascii="宋体" w:hAnsi="宋体" w:cs="MingLiU"/>
          <w:snapToGrid w:val="0"/>
          <w:color w:val="auto"/>
          <w:kern w:val="0"/>
          <w:szCs w:val="21"/>
          <w:highlight w:val="none"/>
        </w:rPr>
        <w:t>本比选文件</w:t>
      </w:r>
      <w:r>
        <w:rPr>
          <w:rFonts w:hint="eastAsia" w:ascii="宋体" w:hAnsi="宋体"/>
          <w:color w:val="auto"/>
          <w:kern w:val="44"/>
          <w:szCs w:val="21"/>
          <w:highlight w:val="none"/>
        </w:rPr>
        <w:t>第四章合同条款及格式的内容与本比选文件第一章第二章的相关内容不一致时，以本比选文件第一章第二章内容为准。</w:t>
      </w:r>
    </w:p>
    <w:bookmarkEnd w:id="539"/>
    <w:bookmarkEnd w:id="540"/>
    <w:bookmarkEnd w:id="541"/>
    <w:bookmarkEnd w:id="542"/>
    <w:p w14:paraId="5F0CF8CE">
      <w:pPr>
        <w:pStyle w:val="4"/>
        <w:rPr>
          <w:rFonts w:ascii="宋体" w:hAnsi="宋体"/>
          <w:snapToGrid w:val="0"/>
          <w:color w:val="auto"/>
          <w:highlight w:val="none"/>
        </w:rPr>
      </w:pPr>
      <w:bookmarkStart w:id="548" w:name="_Toc493602443"/>
      <w:bookmarkStart w:id="549" w:name="_Toc20130"/>
      <w:bookmarkStart w:id="550" w:name="_Toc31617"/>
      <w:bookmarkStart w:id="551" w:name="_Toc23589"/>
      <w:bookmarkStart w:id="552" w:name="_Toc16000419"/>
      <w:bookmarkStart w:id="553" w:name="_Toc390432717"/>
      <w:bookmarkStart w:id="554" w:name="_Toc287607792"/>
      <w:bookmarkStart w:id="555" w:name="_Toc277082598"/>
      <w:bookmarkStart w:id="556" w:name="_Toc224103363"/>
      <w:bookmarkStart w:id="557" w:name="_Toc200513172"/>
      <w:r>
        <w:rPr>
          <w:rFonts w:hint="eastAsia" w:ascii="宋体" w:hAnsi="宋体"/>
          <w:snapToGrid w:val="0"/>
          <w:color w:val="auto"/>
          <w:highlight w:val="none"/>
        </w:rPr>
        <w:t>8.  重新比选和不再</w:t>
      </w:r>
      <w:bookmarkEnd w:id="548"/>
      <w:r>
        <w:rPr>
          <w:rFonts w:hint="eastAsia" w:ascii="宋体" w:hAnsi="宋体"/>
          <w:snapToGrid w:val="0"/>
          <w:color w:val="auto"/>
          <w:highlight w:val="none"/>
        </w:rPr>
        <w:t>比选</w:t>
      </w:r>
      <w:bookmarkEnd w:id="549"/>
      <w:bookmarkEnd w:id="550"/>
      <w:bookmarkEnd w:id="551"/>
      <w:bookmarkEnd w:id="552"/>
    </w:p>
    <w:p w14:paraId="43F3CAA8">
      <w:pPr>
        <w:pStyle w:val="5"/>
        <w:snapToGrid w:val="0"/>
        <w:spacing w:line="360" w:lineRule="auto"/>
        <w:rPr>
          <w:rFonts w:ascii="宋体" w:hAnsi="宋体"/>
          <w:snapToGrid w:val="0"/>
          <w:color w:val="auto"/>
          <w:highlight w:val="none"/>
        </w:rPr>
      </w:pPr>
      <w:bookmarkStart w:id="558" w:name="_Toc483489713"/>
      <w:bookmarkStart w:id="559" w:name="_Toc20364"/>
      <w:bookmarkStart w:id="560" w:name="_Toc200513170"/>
      <w:bookmarkStart w:id="561" w:name="_Toc493602444"/>
      <w:bookmarkStart w:id="562" w:name="_Toc390432718"/>
      <w:bookmarkStart w:id="563" w:name="_Toc224103361"/>
      <w:bookmarkStart w:id="564" w:name="_Toc287607790"/>
      <w:bookmarkStart w:id="565" w:name="_Toc277082596"/>
      <w:bookmarkStart w:id="566" w:name="_Toc689"/>
      <w:bookmarkStart w:id="567" w:name="_Toc16000420"/>
      <w:bookmarkStart w:id="568" w:name="_Toc13138"/>
      <w:bookmarkStart w:id="569" w:name="_Toc23658"/>
      <w:r>
        <w:rPr>
          <w:rFonts w:hint="eastAsia" w:ascii="宋体" w:hAnsi="宋体"/>
          <w:snapToGrid w:val="0"/>
          <w:color w:val="auto"/>
          <w:highlight w:val="none"/>
        </w:rPr>
        <w:t>8.1  重新</w:t>
      </w:r>
      <w:bookmarkEnd w:id="558"/>
      <w:bookmarkEnd w:id="559"/>
      <w:bookmarkEnd w:id="560"/>
      <w:bookmarkEnd w:id="561"/>
      <w:bookmarkEnd w:id="562"/>
      <w:bookmarkEnd w:id="563"/>
      <w:bookmarkEnd w:id="564"/>
      <w:bookmarkEnd w:id="565"/>
      <w:r>
        <w:rPr>
          <w:rFonts w:hint="eastAsia" w:ascii="宋体" w:hAnsi="宋体"/>
          <w:snapToGrid w:val="0"/>
          <w:color w:val="auto"/>
          <w:highlight w:val="none"/>
        </w:rPr>
        <w:t>比选</w:t>
      </w:r>
      <w:bookmarkEnd w:id="566"/>
      <w:bookmarkEnd w:id="567"/>
      <w:bookmarkEnd w:id="568"/>
      <w:bookmarkEnd w:id="569"/>
    </w:p>
    <w:p w14:paraId="075CD819">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有下列情形之一的，比选人将重新比选：</w:t>
      </w:r>
    </w:p>
    <w:p w14:paraId="30A92C69">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1</w:t>
      </w:r>
      <w:r>
        <w:rPr>
          <w:rFonts w:hint="eastAsia" w:ascii="宋体" w:hAnsi="宋体" w:cs="MingLiU"/>
          <w:snapToGrid w:val="0"/>
          <w:color w:val="auto"/>
          <w:kern w:val="0"/>
          <w:szCs w:val="21"/>
          <w:highlight w:val="none"/>
        </w:rPr>
        <w:t>）比选申请截止时间止，比选申请人少于</w:t>
      </w:r>
      <w:r>
        <w:rPr>
          <w:rFonts w:hint="eastAsia" w:ascii="宋体" w:hAnsi="宋体"/>
          <w:snapToGrid w:val="0"/>
          <w:color w:val="auto"/>
          <w:kern w:val="0"/>
          <w:szCs w:val="21"/>
          <w:highlight w:val="none"/>
        </w:rPr>
        <w:t xml:space="preserve"> 3 </w:t>
      </w:r>
      <w:r>
        <w:rPr>
          <w:rFonts w:hint="eastAsia" w:ascii="宋体" w:hAnsi="宋体" w:cs="MingLiU"/>
          <w:snapToGrid w:val="0"/>
          <w:color w:val="auto"/>
          <w:kern w:val="0"/>
          <w:szCs w:val="21"/>
          <w:highlight w:val="none"/>
        </w:rPr>
        <w:t>个的；</w:t>
      </w:r>
    </w:p>
    <w:p w14:paraId="2156248D">
      <w:pPr>
        <w:autoSpaceDE w:val="0"/>
        <w:autoSpaceDN w:val="0"/>
        <w:adjustRightInd w:val="0"/>
        <w:snapToGrid w:val="0"/>
        <w:spacing w:line="360" w:lineRule="auto"/>
        <w:ind w:left="359" w:leftChars="171"/>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2</w:t>
      </w:r>
      <w:r>
        <w:rPr>
          <w:rFonts w:hint="eastAsia" w:ascii="宋体" w:hAnsi="宋体" w:cs="MingLiU"/>
          <w:snapToGrid w:val="0"/>
          <w:color w:val="auto"/>
          <w:kern w:val="0"/>
          <w:szCs w:val="21"/>
          <w:highlight w:val="none"/>
        </w:rPr>
        <w:t>）经评标委员会评审后比选申请人不足3家的，且经评标委员会认定不具竞争性的。</w:t>
      </w:r>
    </w:p>
    <w:p w14:paraId="4924D0D1">
      <w:pPr>
        <w:pStyle w:val="5"/>
        <w:snapToGrid w:val="0"/>
        <w:spacing w:line="360" w:lineRule="auto"/>
        <w:rPr>
          <w:rFonts w:ascii="宋体" w:hAnsi="宋体"/>
          <w:snapToGrid w:val="0"/>
          <w:color w:val="auto"/>
          <w:highlight w:val="none"/>
        </w:rPr>
      </w:pPr>
      <w:bookmarkStart w:id="570" w:name="_Toc390432719"/>
      <w:bookmarkStart w:id="571" w:name="_Toc493602445"/>
      <w:bookmarkStart w:id="572" w:name="_Toc200513171"/>
      <w:bookmarkStart w:id="573" w:name="_Toc27972"/>
      <w:bookmarkStart w:id="574" w:name="_Toc287607791"/>
      <w:bookmarkStart w:id="575" w:name="_Toc224103362"/>
      <w:bookmarkStart w:id="576" w:name="_Toc483489714"/>
      <w:bookmarkStart w:id="577" w:name="_Toc277082597"/>
      <w:bookmarkStart w:id="578" w:name="_Toc29025"/>
      <w:bookmarkStart w:id="579" w:name="_Toc7600"/>
      <w:bookmarkStart w:id="580" w:name="_Toc4929"/>
      <w:bookmarkStart w:id="581" w:name="_Toc16000421"/>
      <w:r>
        <w:rPr>
          <w:rFonts w:hint="eastAsia" w:ascii="宋体" w:hAnsi="宋体"/>
          <w:snapToGrid w:val="0"/>
          <w:color w:val="auto"/>
          <w:highlight w:val="none"/>
        </w:rPr>
        <w:t>8.2  重新比选和不再</w:t>
      </w:r>
      <w:bookmarkEnd w:id="570"/>
      <w:bookmarkEnd w:id="571"/>
      <w:bookmarkEnd w:id="572"/>
      <w:bookmarkEnd w:id="573"/>
      <w:bookmarkEnd w:id="574"/>
      <w:bookmarkEnd w:id="575"/>
      <w:bookmarkEnd w:id="576"/>
      <w:bookmarkEnd w:id="577"/>
      <w:r>
        <w:rPr>
          <w:rFonts w:hint="eastAsia" w:ascii="宋体" w:hAnsi="宋体"/>
          <w:snapToGrid w:val="0"/>
          <w:color w:val="auto"/>
          <w:highlight w:val="none"/>
        </w:rPr>
        <w:t>比选</w:t>
      </w:r>
      <w:bookmarkEnd w:id="578"/>
      <w:bookmarkEnd w:id="579"/>
      <w:bookmarkEnd w:id="580"/>
      <w:bookmarkEnd w:id="581"/>
    </w:p>
    <w:p w14:paraId="44C1DB11">
      <w:pPr>
        <w:autoSpaceDE w:val="0"/>
        <w:autoSpaceDN w:val="0"/>
        <w:adjustRightInd w:val="0"/>
        <w:snapToGrid w:val="0"/>
        <w:spacing w:line="360" w:lineRule="auto"/>
        <w:ind w:firstLine="420"/>
        <w:jc w:val="left"/>
        <w:rPr>
          <w:rFonts w:ascii="宋体" w:hAnsi="宋体" w:cs="MingLiU"/>
          <w:snapToGrid w:val="0"/>
          <w:color w:val="auto"/>
          <w:kern w:val="0"/>
          <w:szCs w:val="21"/>
          <w:highlight w:val="none"/>
          <w:u w:val="single"/>
        </w:rPr>
      </w:pPr>
      <w:bookmarkStart w:id="582" w:name="_Toc243913562"/>
      <w:r>
        <w:rPr>
          <w:rFonts w:hint="eastAsia" w:ascii="宋体" w:hAnsi="宋体" w:cs="MingLiU"/>
          <w:snapToGrid w:val="0"/>
          <w:color w:val="auto"/>
          <w:kern w:val="0"/>
          <w:szCs w:val="21"/>
          <w:highlight w:val="none"/>
        </w:rPr>
        <w:t>重新比选后比选申请人少于</w:t>
      </w:r>
      <w:r>
        <w:rPr>
          <w:rFonts w:hint="eastAsia" w:ascii="宋体" w:hAnsi="宋体"/>
          <w:snapToGrid w:val="0"/>
          <w:color w:val="auto"/>
          <w:kern w:val="0"/>
          <w:szCs w:val="21"/>
          <w:highlight w:val="none"/>
        </w:rPr>
        <w:t>3</w:t>
      </w:r>
      <w:r>
        <w:rPr>
          <w:rFonts w:hint="eastAsia" w:ascii="宋体" w:hAnsi="宋体" w:cs="MingLiU"/>
          <w:snapToGrid w:val="0"/>
          <w:color w:val="auto"/>
          <w:kern w:val="0"/>
          <w:szCs w:val="21"/>
          <w:highlight w:val="none"/>
        </w:rPr>
        <w:t>个，可以按法定程序开标和评标，确定中选人。经评审无合格比选申请人，属于必须审批或核准的工程建设项目，经原审批或核准部门批准后可以不再进行比选。</w:t>
      </w:r>
      <w:bookmarkEnd w:id="582"/>
    </w:p>
    <w:bookmarkEnd w:id="553"/>
    <w:p w14:paraId="2F35E169">
      <w:pPr>
        <w:pStyle w:val="4"/>
        <w:rPr>
          <w:rFonts w:ascii="宋体" w:hAnsi="宋体"/>
          <w:snapToGrid w:val="0"/>
          <w:color w:val="auto"/>
          <w:highlight w:val="none"/>
        </w:rPr>
      </w:pPr>
      <w:bookmarkStart w:id="583" w:name="_Toc493602446"/>
      <w:bookmarkStart w:id="584" w:name="_Toc18275"/>
      <w:bookmarkStart w:id="585" w:name="_Toc2145"/>
      <w:bookmarkStart w:id="586" w:name="_Toc16000422"/>
      <w:bookmarkStart w:id="587" w:name="_Toc29493"/>
      <w:r>
        <w:rPr>
          <w:rFonts w:hint="eastAsia" w:ascii="宋体" w:hAnsi="宋体"/>
          <w:snapToGrid w:val="0"/>
          <w:color w:val="auto"/>
          <w:highlight w:val="none"/>
        </w:rPr>
        <w:t>9.  纪律和监督</w:t>
      </w:r>
      <w:bookmarkEnd w:id="554"/>
      <w:bookmarkEnd w:id="555"/>
      <w:bookmarkEnd w:id="556"/>
      <w:bookmarkEnd w:id="557"/>
      <w:bookmarkEnd w:id="583"/>
      <w:bookmarkEnd w:id="584"/>
      <w:bookmarkEnd w:id="585"/>
      <w:bookmarkEnd w:id="586"/>
      <w:bookmarkEnd w:id="587"/>
    </w:p>
    <w:p w14:paraId="02BF254E">
      <w:pPr>
        <w:pStyle w:val="5"/>
        <w:snapToGrid w:val="0"/>
        <w:spacing w:line="360" w:lineRule="auto"/>
        <w:rPr>
          <w:rFonts w:ascii="宋体" w:hAnsi="宋体"/>
          <w:snapToGrid w:val="0"/>
          <w:color w:val="auto"/>
          <w:highlight w:val="none"/>
        </w:rPr>
      </w:pPr>
      <w:bookmarkStart w:id="588" w:name="_Toc16000423"/>
      <w:bookmarkStart w:id="589" w:name="_Toc14759"/>
      <w:bookmarkStart w:id="590" w:name="_Toc224103364"/>
      <w:bookmarkStart w:id="591" w:name="_Toc31879"/>
      <w:bookmarkStart w:id="592" w:name="_Toc200513173"/>
      <w:bookmarkStart w:id="593" w:name="_Toc493602447"/>
      <w:bookmarkStart w:id="594" w:name="_Toc15368"/>
      <w:bookmarkStart w:id="595" w:name="_Toc483489716"/>
      <w:bookmarkStart w:id="596" w:name="_Toc287607793"/>
      <w:bookmarkStart w:id="597" w:name="_Toc21087"/>
      <w:bookmarkStart w:id="598" w:name="_Toc277082599"/>
      <w:r>
        <w:rPr>
          <w:rFonts w:hint="eastAsia" w:ascii="宋体" w:hAnsi="宋体"/>
          <w:snapToGrid w:val="0"/>
          <w:color w:val="auto"/>
          <w:highlight w:val="none"/>
        </w:rPr>
        <w:t>9.1  对比选人的纪律要求</w:t>
      </w:r>
      <w:bookmarkEnd w:id="588"/>
      <w:bookmarkEnd w:id="589"/>
      <w:bookmarkEnd w:id="590"/>
      <w:bookmarkEnd w:id="591"/>
      <w:bookmarkEnd w:id="592"/>
      <w:bookmarkEnd w:id="593"/>
      <w:bookmarkEnd w:id="594"/>
      <w:bookmarkEnd w:id="595"/>
      <w:bookmarkEnd w:id="596"/>
      <w:bookmarkEnd w:id="597"/>
      <w:bookmarkEnd w:id="598"/>
    </w:p>
    <w:p w14:paraId="2C46148B">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比选人不得泄漏比选比选活动中应当保密的情况和资料，不得与比选申请人串通损害国家利益、社会公共利益或者他人合法权益，</w:t>
      </w:r>
      <w:r>
        <w:rPr>
          <w:rFonts w:hint="eastAsia"/>
          <w:color w:val="auto"/>
          <w:highlight w:val="none"/>
        </w:rPr>
        <w:t>禁止比选人与比选申请人串通投标。</w:t>
      </w:r>
      <w:r>
        <w:rPr>
          <w:color w:val="auto"/>
          <w:highlight w:val="none"/>
        </w:rPr>
        <w:br w:type="textWrapping"/>
      </w:r>
      <w:r>
        <w:rPr>
          <w:color w:val="auto"/>
          <w:highlight w:val="none"/>
        </w:rPr>
        <w:t xml:space="preserve">     </w:t>
      </w:r>
      <w:r>
        <w:rPr>
          <w:rFonts w:hint="eastAsia"/>
          <w:color w:val="auto"/>
          <w:highlight w:val="none"/>
        </w:rPr>
        <w:t>有下列情形之一的，属于比选人与比选申请人串通投标：</w:t>
      </w:r>
      <w:r>
        <w:rPr>
          <w:color w:val="auto"/>
          <w:highlight w:val="none"/>
        </w:rPr>
        <w:br w:type="textWrapping"/>
      </w:r>
      <w:r>
        <w:rPr>
          <w:color w:val="auto"/>
          <w:highlight w:val="none"/>
        </w:rPr>
        <w:t>    </w:t>
      </w:r>
      <w:r>
        <w:rPr>
          <w:rFonts w:hint="eastAsia"/>
          <w:color w:val="auto"/>
          <w:highlight w:val="none"/>
        </w:rPr>
        <w:t>（</w:t>
      </w:r>
      <w:r>
        <w:rPr>
          <w:color w:val="auto"/>
          <w:highlight w:val="none"/>
        </w:rPr>
        <w:t>1</w:t>
      </w:r>
      <w:r>
        <w:rPr>
          <w:rFonts w:hint="eastAsia"/>
          <w:color w:val="auto"/>
          <w:highlight w:val="none"/>
        </w:rPr>
        <w:t>）比选人在开标前开启比选申请文件并将有关信息泄露给其他比选申请人</w:t>
      </w:r>
      <w:r>
        <w:rPr>
          <w:color w:val="auto"/>
          <w:highlight w:val="none"/>
        </w:rPr>
        <w:t>;</w:t>
      </w:r>
      <w:r>
        <w:rPr>
          <w:color w:val="auto"/>
          <w:highlight w:val="none"/>
        </w:rPr>
        <w:br w:type="textWrapping"/>
      </w:r>
      <w:r>
        <w:rPr>
          <w:color w:val="auto"/>
          <w:highlight w:val="none"/>
        </w:rPr>
        <w:t>    </w:t>
      </w:r>
      <w:r>
        <w:rPr>
          <w:rFonts w:hint="eastAsia"/>
          <w:color w:val="auto"/>
          <w:highlight w:val="none"/>
        </w:rPr>
        <w:t>（</w:t>
      </w:r>
      <w:r>
        <w:rPr>
          <w:color w:val="auto"/>
          <w:highlight w:val="none"/>
        </w:rPr>
        <w:t>2</w:t>
      </w:r>
      <w:r>
        <w:rPr>
          <w:rFonts w:hint="eastAsia"/>
          <w:color w:val="auto"/>
          <w:highlight w:val="none"/>
        </w:rPr>
        <w:t>）比选人直接或者间接向比选申请人泄露评标委员会成员等信息；</w:t>
      </w:r>
      <w:r>
        <w:rPr>
          <w:color w:val="auto"/>
          <w:highlight w:val="none"/>
        </w:rPr>
        <w:br w:type="textWrapping"/>
      </w:r>
      <w:r>
        <w:rPr>
          <w:color w:val="auto"/>
          <w:highlight w:val="none"/>
        </w:rPr>
        <w:t>    </w:t>
      </w:r>
      <w:r>
        <w:rPr>
          <w:rFonts w:hint="eastAsia"/>
          <w:color w:val="auto"/>
          <w:highlight w:val="none"/>
        </w:rPr>
        <w:t>（</w:t>
      </w:r>
      <w:r>
        <w:rPr>
          <w:color w:val="auto"/>
          <w:highlight w:val="none"/>
        </w:rPr>
        <w:t>3</w:t>
      </w:r>
      <w:r>
        <w:rPr>
          <w:rFonts w:hint="eastAsia"/>
          <w:color w:val="auto"/>
          <w:highlight w:val="none"/>
        </w:rPr>
        <w:t>）比选人明示或者暗示比选申请人压低或者抬高比选报价；</w:t>
      </w:r>
      <w:r>
        <w:rPr>
          <w:color w:val="auto"/>
          <w:highlight w:val="none"/>
        </w:rPr>
        <w:br w:type="textWrapping"/>
      </w:r>
      <w:r>
        <w:rPr>
          <w:color w:val="auto"/>
          <w:highlight w:val="none"/>
        </w:rPr>
        <w:t>    </w:t>
      </w:r>
      <w:r>
        <w:rPr>
          <w:rFonts w:hint="eastAsia"/>
          <w:color w:val="auto"/>
          <w:highlight w:val="none"/>
        </w:rPr>
        <w:t>（</w:t>
      </w:r>
      <w:r>
        <w:rPr>
          <w:color w:val="auto"/>
          <w:highlight w:val="none"/>
        </w:rPr>
        <w:t>4</w:t>
      </w:r>
      <w:r>
        <w:rPr>
          <w:rFonts w:hint="eastAsia"/>
          <w:color w:val="auto"/>
          <w:highlight w:val="none"/>
        </w:rPr>
        <w:t>）比选人授意比选申请人撤换、修改比选申请文件；</w:t>
      </w:r>
      <w:r>
        <w:rPr>
          <w:color w:val="auto"/>
          <w:highlight w:val="none"/>
        </w:rPr>
        <w:br w:type="textWrapping"/>
      </w:r>
      <w:r>
        <w:rPr>
          <w:color w:val="auto"/>
          <w:highlight w:val="none"/>
        </w:rPr>
        <w:t>    </w:t>
      </w:r>
      <w:r>
        <w:rPr>
          <w:rFonts w:hint="eastAsia"/>
          <w:color w:val="auto"/>
          <w:highlight w:val="none"/>
        </w:rPr>
        <w:t>（</w:t>
      </w:r>
      <w:r>
        <w:rPr>
          <w:color w:val="auto"/>
          <w:highlight w:val="none"/>
        </w:rPr>
        <w:t>5</w:t>
      </w:r>
      <w:r>
        <w:rPr>
          <w:rFonts w:hint="eastAsia"/>
          <w:color w:val="auto"/>
          <w:highlight w:val="none"/>
        </w:rPr>
        <w:t>）比选人明示或者暗示比选申请人为特定比选申请人中选提供方便；</w:t>
      </w:r>
      <w:r>
        <w:rPr>
          <w:color w:val="auto"/>
          <w:highlight w:val="none"/>
        </w:rPr>
        <w:br w:type="textWrapping"/>
      </w:r>
      <w:r>
        <w:rPr>
          <w:color w:val="auto"/>
          <w:highlight w:val="none"/>
        </w:rPr>
        <w:t>    </w:t>
      </w:r>
      <w:r>
        <w:rPr>
          <w:rFonts w:hint="eastAsia"/>
          <w:color w:val="auto"/>
          <w:highlight w:val="none"/>
        </w:rPr>
        <w:t>（</w:t>
      </w:r>
      <w:r>
        <w:rPr>
          <w:color w:val="auto"/>
          <w:highlight w:val="none"/>
        </w:rPr>
        <w:t>6</w:t>
      </w:r>
      <w:r>
        <w:rPr>
          <w:rFonts w:hint="eastAsia"/>
          <w:color w:val="auto"/>
          <w:highlight w:val="none"/>
        </w:rPr>
        <w:t>）比选人与比选申请人为谋求特定比选申请人中选而采取的其他串通行为。</w:t>
      </w:r>
    </w:p>
    <w:p w14:paraId="2619836E">
      <w:pPr>
        <w:pStyle w:val="5"/>
        <w:snapToGrid w:val="0"/>
        <w:spacing w:line="360" w:lineRule="auto"/>
        <w:rPr>
          <w:rFonts w:ascii="宋体" w:hAnsi="宋体"/>
          <w:snapToGrid w:val="0"/>
          <w:color w:val="auto"/>
          <w:highlight w:val="none"/>
        </w:rPr>
      </w:pPr>
      <w:bookmarkStart w:id="599" w:name="_Toc16000424"/>
      <w:bookmarkStart w:id="600" w:name="_Toc200513174"/>
      <w:bookmarkStart w:id="601" w:name="_Toc483489717"/>
      <w:bookmarkStart w:id="602" w:name="_Toc12939"/>
      <w:bookmarkStart w:id="603" w:name="_Toc16338"/>
      <w:bookmarkStart w:id="604" w:name="_Toc277082600"/>
      <w:bookmarkStart w:id="605" w:name="_Toc287607794"/>
      <w:bookmarkStart w:id="606" w:name="_Toc224103365"/>
      <w:bookmarkStart w:id="607" w:name="_Toc13941"/>
      <w:bookmarkStart w:id="608" w:name="_Toc493602448"/>
      <w:bookmarkStart w:id="609" w:name="_Toc21117"/>
      <w:r>
        <w:rPr>
          <w:rFonts w:hint="eastAsia" w:ascii="宋体" w:hAnsi="宋体"/>
          <w:snapToGrid w:val="0"/>
          <w:color w:val="auto"/>
          <w:highlight w:val="none"/>
        </w:rPr>
        <w:t>9.2  对比选申请人的纪律要求</w:t>
      </w:r>
      <w:bookmarkEnd w:id="599"/>
      <w:bookmarkEnd w:id="600"/>
      <w:bookmarkEnd w:id="601"/>
      <w:bookmarkEnd w:id="602"/>
      <w:bookmarkEnd w:id="603"/>
      <w:bookmarkEnd w:id="604"/>
      <w:bookmarkEnd w:id="605"/>
      <w:bookmarkEnd w:id="606"/>
      <w:bookmarkEnd w:id="607"/>
      <w:bookmarkEnd w:id="608"/>
      <w:bookmarkEnd w:id="609"/>
    </w:p>
    <w:p w14:paraId="78C35266">
      <w:pPr>
        <w:autoSpaceDE w:val="0"/>
        <w:autoSpaceDN w:val="0"/>
        <w:adjustRightInd w:val="0"/>
        <w:snapToGrid w:val="0"/>
        <w:spacing w:line="360" w:lineRule="auto"/>
        <w:ind w:firstLine="420"/>
        <w:rPr>
          <w:color w:val="auto"/>
          <w:highlight w:val="none"/>
        </w:rPr>
      </w:pPr>
      <w:r>
        <w:rPr>
          <w:rFonts w:hint="eastAsia" w:ascii="宋体" w:hAnsi="宋体" w:cs="MingLiU"/>
          <w:snapToGrid w:val="0"/>
          <w:color w:val="auto"/>
          <w:kern w:val="0"/>
          <w:szCs w:val="21"/>
          <w:highlight w:val="none"/>
        </w:rPr>
        <w:t>比选申请人不得相互串通投标或者与比选人串通投标，不得向比选人或者评标委员会成员行贿谋取中选，不得以他人名义投标或者以其他方式弄虚作假骗取中选；比选申请人不得以任何方式干扰、影响评标工作。</w:t>
      </w:r>
      <w:r>
        <w:rPr>
          <w:color w:val="auto"/>
          <w:highlight w:val="none"/>
        </w:rPr>
        <w:br w:type="textWrapping"/>
      </w:r>
      <w:r>
        <w:rPr>
          <w:color w:val="auto"/>
          <w:highlight w:val="none"/>
        </w:rPr>
        <w:t xml:space="preserve">     </w:t>
      </w:r>
      <w:r>
        <w:rPr>
          <w:rFonts w:hint="eastAsia"/>
          <w:color w:val="auto"/>
          <w:highlight w:val="none"/>
        </w:rPr>
        <w:t>有下列情形之一的，属于比选申请人相互串通投标：</w:t>
      </w:r>
      <w:r>
        <w:rPr>
          <w:color w:val="auto"/>
          <w:highlight w:val="none"/>
        </w:rPr>
        <w:br w:type="textWrapping"/>
      </w:r>
      <w:r>
        <w:rPr>
          <w:color w:val="auto"/>
          <w:highlight w:val="none"/>
        </w:rPr>
        <w:t>    </w:t>
      </w:r>
      <w:r>
        <w:rPr>
          <w:rFonts w:hint="eastAsia"/>
          <w:color w:val="auto"/>
          <w:highlight w:val="none"/>
        </w:rPr>
        <w:t>（</w:t>
      </w:r>
      <w:r>
        <w:rPr>
          <w:color w:val="auto"/>
          <w:highlight w:val="none"/>
        </w:rPr>
        <w:t>1</w:t>
      </w:r>
      <w:r>
        <w:rPr>
          <w:rFonts w:hint="eastAsia"/>
          <w:color w:val="auto"/>
          <w:highlight w:val="none"/>
        </w:rPr>
        <w:t>）比选申请人之间协商比选申请报价等比选申请文件的实质性内容；</w:t>
      </w:r>
      <w:r>
        <w:rPr>
          <w:color w:val="auto"/>
          <w:highlight w:val="none"/>
        </w:rPr>
        <w:br w:type="textWrapping"/>
      </w:r>
      <w:r>
        <w:rPr>
          <w:color w:val="auto"/>
          <w:highlight w:val="none"/>
        </w:rPr>
        <w:t>    </w:t>
      </w:r>
      <w:r>
        <w:rPr>
          <w:rFonts w:hint="eastAsia"/>
          <w:color w:val="auto"/>
          <w:highlight w:val="none"/>
        </w:rPr>
        <w:t>（</w:t>
      </w:r>
      <w:r>
        <w:rPr>
          <w:color w:val="auto"/>
          <w:highlight w:val="none"/>
        </w:rPr>
        <w:t>2</w:t>
      </w:r>
      <w:r>
        <w:rPr>
          <w:rFonts w:hint="eastAsia"/>
          <w:color w:val="auto"/>
          <w:highlight w:val="none"/>
        </w:rPr>
        <w:t>）比选申请人之间约定中选人；</w:t>
      </w:r>
      <w:r>
        <w:rPr>
          <w:color w:val="auto"/>
          <w:highlight w:val="none"/>
        </w:rPr>
        <w:br w:type="textWrapping"/>
      </w:r>
      <w:r>
        <w:rPr>
          <w:color w:val="auto"/>
          <w:highlight w:val="none"/>
        </w:rPr>
        <w:t>    </w:t>
      </w:r>
      <w:r>
        <w:rPr>
          <w:rFonts w:hint="eastAsia"/>
          <w:color w:val="auto"/>
          <w:highlight w:val="none"/>
        </w:rPr>
        <w:t>（</w:t>
      </w:r>
      <w:r>
        <w:rPr>
          <w:color w:val="auto"/>
          <w:highlight w:val="none"/>
        </w:rPr>
        <w:t>3</w:t>
      </w:r>
      <w:r>
        <w:rPr>
          <w:rFonts w:hint="eastAsia"/>
          <w:color w:val="auto"/>
          <w:highlight w:val="none"/>
        </w:rPr>
        <w:t>）比选申请人之间约定部分比选申请人放弃比选或者中选；</w:t>
      </w:r>
      <w:r>
        <w:rPr>
          <w:color w:val="auto"/>
          <w:highlight w:val="none"/>
        </w:rPr>
        <w:br w:type="textWrapping"/>
      </w:r>
      <w:r>
        <w:rPr>
          <w:color w:val="auto"/>
          <w:highlight w:val="none"/>
        </w:rPr>
        <w:t>    </w:t>
      </w:r>
      <w:r>
        <w:rPr>
          <w:rFonts w:hint="eastAsia"/>
          <w:color w:val="auto"/>
          <w:highlight w:val="none"/>
        </w:rPr>
        <w:t>（</w:t>
      </w:r>
      <w:r>
        <w:rPr>
          <w:color w:val="auto"/>
          <w:highlight w:val="none"/>
        </w:rPr>
        <w:t>4</w:t>
      </w:r>
      <w:r>
        <w:rPr>
          <w:rFonts w:hint="eastAsia"/>
          <w:color w:val="auto"/>
          <w:highlight w:val="none"/>
        </w:rPr>
        <w:t>）属于同一比选人、协会、商会等组织成员的比选申请人按照该组织要求协同投标；</w:t>
      </w:r>
      <w:r>
        <w:rPr>
          <w:color w:val="auto"/>
          <w:highlight w:val="none"/>
        </w:rPr>
        <w:br w:type="textWrapping"/>
      </w:r>
      <w:r>
        <w:rPr>
          <w:color w:val="auto"/>
          <w:highlight w:val="none"/>
        </w:rPr>
        <w:t>    </w:t>
      </w:r>
      <w:r>
        <w:rPr>
          <w:rFonts w:hint="eastAsia"/>
          <w:color w:val="auto"/>
          <w:highlight w:val="none"/>
        </w:rPr>
        <w:t>（</w:t>
      </w:r>
      <w:r>
        <w:rPr>
          <w:color w:val="auto"/>
          <w:highlight w:val="none"/>
        </w:rPr>
        <w:t>5</w:t>
      </w:r>
      <w:r>
        <w:rPr>
          <w:rFonts w:hint="eastAsia"/>
          <w:color w:val="auto"/>
          <w:highlight w:val="none"/>
        </w:rPr>
        <w:t>）比选申请人之间为谋取中选或者排斥特定比选申请人而采取的其他联合行动。</w:t>
      </w:r>
      <w:r>
        <w:rPr>
          <w:color w:val="auto"/>
          <w:highlight w:val="none"/>
        </w:rPr>
        <w:br w:type="textWrapping"/>
      </w:r>
      <w:r>
        <w:rPr>
          <w:color w:val="auto"/>
          <w:highlight w:val="none"/>
        </w:rPr>
        <w:t xml:space="preserve">    </w:t>
      </w:r>
      <w:r>
        <w:rPr>
          <w:rFonts w:hint="eastAsia"/>
          <w:color w:val="auto"/>
          <w:highlight w:val="none"/>
        </w:rPr>
        <w:t>有下列情形之一的，视为比选申请人相互串通投标：</w:t>
      </w:r>
      <w:r>
        <w:rPr>
          <w:color w:val="auto"/>
          <w:highlight w:val="none"/>
        </w:rPr>
        <w:br w:type="textWrapping"/>
      </w:r>
      <w:r>
        <w:rPr>
          <w:color w:val="auto"/>
          <w:highlight w:val="none"/>
        </w:rPr>
        <w:t>    </w:t>
      </w:r>
      <w:r>
        <w:rPr>
          <w:rFonts w:hint="eastAsia"/>
          <w:color w:val="auto"/>
          <w:highlight w:val="none"/>
        </w:rPr>
        <w:t>（</w:t>
      </w:r>
      <w:r>
        <w:rPr>
          <w:color w:val="auto"/>
          <w:highlight w:val="none"/>
        </w:rPr>
        <w:t>1</w:t>
      </w:r>
      <w:r>
        <w:rPr>
          <w:rFonts w:hint="eastAsia"/>
          <w:color w:val="auto"/>
          <w:highlight w:val="none"/>
        </w:rPr>
        <w:t>）不同比选申请人的比选申请文件由同一单位或者个人编制；</w:t>
      </w:r>
      <w:r>
        <w:rPr>
          <w:color w:val="auto"/>
          <w:highlight w:val="none"/>
        </w:rPr>
        <w:br w:type="textWrapping"/>
      </w:r>
      <w:r>
        <w:rPr>
          <w:color w:val="auto"/>
          <w:highlight w:val="none"/>
        </w:rPr>
        <w:t>    </w:t>
      </w:r>
      <w:r>
        <w:rPr>
          <w:rFonts w:hint="eastAsia"/>
          <w:color w:val="auto"/>
          <w:highlight w:val="none"/>
        </w:rPr>
        <w:t>（</w:t>
      </w:r>
      <w:r>
        <w:rPr>
          <w:color w:val="auto"/>
          <w:highlight w:val="none"/>
        </w:rPr>
        <w:t>2</w:t>
      </w:r>
      <w:r>
        <w:rPr>
          <w:rFonts w:hint="eastAsia"/>
          <w:color w:val="auto"/>
          <w:highlight w:val="none"/>
        </w:rPr>
        <w:t>）不同比选申请人委托同一单位或者个人办理投标事宜；</w:t>
      </w:r>
      <w:r>
        <w:rPr>
          <w:color w:val="auto"/>
          <w:highlight w:val="none"/>
        </w:rPr>
        <w:br w:type="textWrapping"/>
      </w:r>
      <w:r>
        <w:rPr>
          <w:color w:val="auto"/>
          <w:highlight w:val="none"/>
        </w:rPr>
        <w:t>    </w:t>
      </w:r>
      <w:r>
        <w:rPr>
          <w:rFonts w:hint="eastAsia"/>
          <w:color w:val="auto"/>
          <w:highlight w:val="none"/>
        </w:rPr>
        <w:t>（</w:t>
      </w:r>
      <w:r>
        <w:rPr>
          <w:color w:val="auto"/>
          <w:highlight w:val="none"/>
        </w:rPr>
        <w:t>3</w:t>
      </w:r>
      <w:r>
        <w:rPr>
          <w:rFonts w:hint="eastAsia"/>
          <w:color w:val="auto"/>
          <w:highlight w:val="none"/>
        </w:rPr>
        <w:t>）不同比选申请人的比选申请文件载明的项目管理成员为同一人；</w:t>
      </w:r>
      <w:r>
        <w:rPr>
          <w:color w:val="auto"/>
          <w:highlight w:val="none"/>
        </w:rPr>
        <w:br w:type="textWrapping"/>
      </w:r>
      <w:r>
        <w:rPr>
          <w:color w:val="auto"/>
          <w:highlight w:val="none"/>
        </w:rPr>
        <w:t>    </w:t>
      </w:r>
      <w:r>
        <w:rPr>
          <w:rFonts w:hint="eastAsia"/>
          <w:color w:val="auto"/>
          <w:highlight w:val="none"/>
        </w:rPr>
        <w:t>（</w:t>
      </w:r>
      <w:r>
        <w:rPr>
          <w:color w:val="auto"/>
          <w:highlight w:val="none"/>
        </w:rPr>
        <w:t>4</w:t>
      </w:r>
      <w:r>
        <w:rPr>
          <w:rFonts w:hint="eastAsia"/>
          <w:color w:val="auto"/>
          <w:highlight w:val="none"/>
        </w:rPr>
        <w:t>）不同比选申请人的比选申请文件异常一致或者比选报价呈规律性差异；</w:t>
      </w:r>
      <w:r>
        <w:rPr>
          <w:color w:val="auto"/>
          <w:highlight w:val="none"/>
        </w:rPr>
        <w:br w:type="textWrapping"/>
      </w:r>
      <w:r>
        <w:rPr>
          <w:color w:val="auto"/>
          <w:highlight w:val="none"/>
        </w:rPr>
        <w:t>    </w:t>
      </w:r>
      <w:r>
        <w:rPr>
          <w:rFonts w:hint="eastAsia"/>
          <w:color w:val="auto"/>
          <w:highlight w:val="none"/>
        </w:rPr>
        <w:t>（</w:t>
      </w:r>
      <w:r>
        <w:rPr>
          <w:color w:val="auto"/>
          <w:highlight w:val="none"/>
        </w:rPr>
        <w:t>5</w:t>
      </w:r>
      <w:r>
        <w:rPr>
          <w:rFonts w:hint="eastAsia"/>
          <w:color w:val="auto"/>
          <w:highlight w:val="none"/>
        </w:rPr>
        <w:t>）不同比选申请人的比选申请文件相互混装；</w:t>
      </w:r>
      <w:r>
        <w:rPr>
          <w:color w:val="auto"/>
          <w:highlight w:val="none"/>
        </w:rPr>
        <w:br w:type="textWrapping"/>
      </w:r>
      <w:r>
        <w:rPr>
          <w:color w:val="auto"/>
          <w:highlight w:val="none"/>
        </w:rPr>
        <w:t>    </w:t>
      </w:r>
      <w:r>
        <w:rPr>
          <w:rFonts w:hint="eastAsia"/>
          <w:color w:val="auto"/>
          <w:highlight w:val="none"/>
        </w:rPr>
        <w:t>（</w:t>
      </w:r>
      <w:r>
        <w:rPr>
          <w:color w:val="auto"/>
          <w:highlight w:val="none"/>
        </w:rPr>
        <w:t>6</w:t>
      </w:r>
      <w:r>
        <w:rPr>
          <w:rFonts w:hint="eastAsia"/>
          <w:color w:val="auto"/>
          <w:highlight w:val="none"/>
        </w:rPr>
        <w:t>）不同比选申请人的比选申请保证金从同一单位或者个人的账户转出。</w:t>
      </w:r>
    </w:p>
    <w:p w14:paraId="15E30F0B">
      <w:pPr>
        <w:autoSpaceDE w:val="0"/>
        <w:autoSpaceDN w:val="0"/>
        <w:adjustRightInd w:val="0"/>
        <w:snapToGrid w:val="0"/>
        <w:spacing w:line="360" w:lineRule="auto"/>
        <w:ind w:firstLine="315" w:firstLineChars="150"/>
        <w:rPr>
          <w:color w:val="auto"/>
          <w:highlight w:val="none"/>
        </w:rPr>
      </w:pPr>
      <w:r>
        <w:rPr>
          <w:rFonts w:hint="eastAsia"/>
          <w:color w:val="auto"/>
          <w:highlight w:val="none"/>
        </w:rPr>
        <w:t>使用通过受让或者租借等方式获取的资格、资质证书投标的，属于以他人名义投标。</w:t>
      </w:r>
      <w:r>
        <w:rPr>
          <w:color w:val="auto"/>
          <w:highlight w:val="none"/>
        </w:rPr>
        <w:br w:type="textWrapping"/>
      </w:r>
      <w:r>
        <w:rPr>
          <w:color w:val="auto"/>
          <w:highlight w:val="none"/>
        </w:rPr>
        <w:t>     </w:t>
      </w:r>
      <w:r>
        <w:rPr>
          <w:rFonts w:hint="eastAsia"/>
          <w:color w:val="auto"/>
          <w:highlight w:val="none"/>
        </w:rPr>
        <w:t>比选申请人有下列情形之一的，属于以其他方式弄虚作假的行为：</w:t>
      </w:r>
      <w:r>
        <w:rPr>
          <w:color w:val="auto"/>
          <w:highlight w:val="none"/>
        </w:rPr>
        <w:br w:type="textWrapping"/>
      </w:r>
      <w:r>
        <w:rPr>
          <w:color w:val="auto"/>
          <w:highlight w:val="none"/>
        </w:rPr>
        <w:t>    </w:t>
      </w:r>
      <w:r>
        <w:rPr>
          <w:rFonts w:hint="eastAsia"/>
          <w:color w:val="auto"/>
          <w:highlight w:val="none"/>
        </w:rPr>
        <w:t>（一）使用伪造、变造的许可证件；</w:t>
      </w:r>
      <w:r>
        <w:rPr>
          <w:color w:val="auto"/>
          <w:highlight w:val="none"/>
        </w:rPr>
        <w:br w:type="textWrapping"/>
      </w:r>
      <w:r>
        <w:rPr>
          <w:color w:val="auto"/>
          <w:highlight w:val="none"/>
        </w:rPr>
        <w:t>    </w:t>
      </w:r>
      <w:r>
        <w:rPr>
          <w:rFonts w:hint="eastAsia"/>
          <w:color w:val="auto"/>
          <w:highlight w:val="none"/>
        </w:rPr>
        <w:t>（二）提供虚假的财务状况或者业绩；</w:t>
      </w:r>
      <w:r>
        <w:rPr>
          <w:color w:val="auto"/>
          <w:highlight w:val="none"/>
        </w:rPr>
        <w:br w:type="textWrapping"/>
      </w:r>
      <w:r>
        <w:rPr>
          <w:color w:val="auto"/>
          <w:highlight w:val="none"/>
        </w:rPr>
        <w:t>    </w:t>
      </w:r>
      <w:r>
        <w:rPr>
          <w:rFonts w:hint="eastAsia"/>
          <w:color w:val="auto"/>
          <w:highlight w:val="none"/>
        </w:rPr>
        <w:t>（三）提供虚假的项目负责人或者主要技术人员简历、劳动关系证明；</w:t>
      </w:r>
      <w:r>
        <w:rPr>
          <w:color w:val="auto"/>
          <w:highlight w:val="none"/>
        </w:rPr>
        <w:br w:type="textWrapping"/>
      </w:r>
      <w:r>
        <w:rPr>
          <w:color w:val="auto"/>
          <w:highlight w:val="none"/>
        </w:rPr>
        <w:t>    </w:t>
      </w:r>
      <w:r>
        <w:rPr>
          <w:rFonts w:hint="eastAsia"/>
          <w:color w:val="auto"/>
          <w:highlight w:val="none"/>
        </w:rPr>
        <w:t>（四）提供虚假的信用状况；</w:t>
      </w:r>
      <w:r>
        <w:rPr>
          <w:color w:val="auto"/>
          <w:highlight w:val="none"/>
        </w:rPr>
        <w:br w:type="textWrapping"/>
      </w:r>
      <w:r>
        <w:rPr>
          <w:color w:val="auto"/>
          <w:highlight w:val="none"/>
        </w:rPr>
        <w:t>    </w:t>
      </w:r>
      <w:r>
        <w:rPr>
          <w:rFonts w:hint="eastAsia"/>
          <w:color w:val="auto"/>
          <w:highlight w:val="none"/>
        </w:rPr>
        <w:t>（五）其他弄虚作假的行为。</w:t>
      </w:r>
    </w:p>
    <w:p w14:paraId="73991B4F">
      <w:pPr>
        <w:autoSpaceDE w:val="0"/>
        <w:autoSpaceDN w:val="0"/>
        <w:adjustRightInd w:val="0"/>
        <w:snapToGrid w:val="0"/>
        <w:spacing w:line="360" w:lineRule="auto"/>
        <w:ind w:firstLine="315" w:firstLineChars="150"/>
        <w:rPr>
          <w:color w:val="auto"/>
          <w:highlight w:val="none"/>
        </w:rPr>
      </w:pPr>
      <w:r>
        <w:rPr>
          <w:rFonts w:hint="eastAsia"/>
          <w:color w:val="auto"/>
          <w:highlight w:val="none"/>
        </w:rPr>
        <w:t>在招比选过程中比选申请人有以上行为的，将没收其比选申请保证金（如是中选候选人，将取消其中选资格），列入不诚信单位名单，并按国家规定进行处理。</w:t>
      </w:r>
    </w:p>
    <w:p w14:paraId="3E1F2265">
      <w:pPr>
        <w:autoSpaceDE w:val="0"/>
        <w:autoSpaceDN w:val="0"/>
        <w:adjustRightInd w:val="0"/>
        <w:snapToGrid w:val="0"/>
        <w:spacing w:line="360" w:lineRule="auto"/>
        <w:ind w:firstLine="315" w:firstLineChars="150"/>
        <w:rPr>
          <w:color w:val="auto"/>
          <w:highlight w:val="none"/>
        </w:rPr>
      </w:pPr>
      <w:r>
        <w:rPr>
          <w:rFonts w:hint="eastAsia"/>
          <w:color w:val="auto"/>
          <w:highlight w:val="none"/>
        </w:rPr>
        <w:t>另外，</w:t>
      </w:r>
      <w:r>
        <w:rPr>
          <w:color w:val="auto"/>
          <w:highlight w:val="none"/>
        </w:rPr>
        <w:t> </w:t>
      </w:r>
      <w:r>
        <w:rPr>
          <w:rFonts w:hint="eastAsia"/>
          <w:color w:val="auto"/>
          <w:highlight w:val="none"/>
        </w:rPr>
        <w:t>比选申请人有下列情形之一的，属于扰乱招投标秩序行为：</w:t>
      </w:r>
    </w:p>
    <w:p w14:paraId="04FB8244">
      <w:pPr>
        <w:autoSpaceDE w:val="0"/>
        <w:autoSpaceDN w:val="0"/>
        <w:adjustRightInd w:val="0"/>
        <w:snapToGrid w:val="0"/>
        <w:spacing w:line="360" w:lineRule="auto"/>
        <w:ind w:firstLine="315" w:firstLineChars="150"/>
        <w:rPr>
          <w:color w:val="auto"/>
          <w:highlight w:val="none"/>
        </w:rPr>
      </w:pPr>
      <w:r>
        <w:rPr>
          <w:rFonts w:hint="eastAsia"/>
          <w:color w:val="auto"/>
          <w:highlight w:val="none"/>
        </w:rPr>
        <w:t>（</w:t>
      </w:r>
      <w:r>
        <w:rPr>
          <w:color w:val="auto"/>
          <w:highlight w:val="none"/>
        </w:rPr>
        <w:t>1</w:t>
      </w:r>
      <w:r>
        <w:rPr>
          <w:rFonts w:hint="eastAsia"/>
          <w:color w:val="auto"/>
          <w:highlight w:val="none"/>
        </w:rPr>
        <w:t>）在比选申请报名时，由于比选申请人手续不符合规定等原因未准予报名，而大吵大闹，扰乱工作秩序的。</w:t>
      </w:r>
    </w:p>
    <w:p w14:paraId="7E9DC314">
      <w:pPr>
        <w:autoSpaceDE w:val="0"/>
        <w:autoSpaceDN w:val="0"/>
        <w:adjustRightInd w:val="0"/>
        <w:snapToGrid w:val="0"/>
        <w:spacing w:line="360" w:lineRule="auto"/>
        <w:ind w:firstLine="315" w:firstLineChars="150"/>
        <w:rPr>
          <w:color w:val="auto"/>
          <w:highlight w:val="none"/>
        </w:rPr>
      </w:pPr>
      <w:r>
        <w:rPr>
          <w:rFonts w:hint="eastAsia"/>
          <w:color w:val="auto"/>
          <w:highlight w:val="none"/>
        </w:rPr>
        <w:t>（</w:t>
      </w:r>
      <w:r>
        <w:rPr>
          <w:color w:val="auto"/>
          <w:highlight w:val="none"/>
        </w:rPr>
        <w:t>2</w:t>
      </w:r>
      <w:r>
        <w:rPr>
          <w:rFonts w:hint="eastAsia"/>
          <w:color w:val="auto"/>
          <w:highlight w:val="none"/>
        </w:rPr>
        <w:t>）比选申请单位在开、评标过程中，扰乱开、评标秩序，不遵守相关规定，情节严重的行为。</w:t>
      </w:r>
    </w:p>
    <w:p w14:paraId="5F899C6C">
      <w:pPr>
        <w:autoSpaceDE w:val="0"/>
        <w:autoSpaceDN w:val="0"/>
        <w:adjustRightInd w:val="0"/>
        <w:snapToGrid w:val="0"/>
        <w:spacing w:line="360" w:lineRule="auto"/>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）相关单位在交易中心场外，散发传单、拉横幅等严重影响工作秩序的行为。</w:t>
      </w:r>
    </w:p>
    <w:p w14:paraId="3274BBA4">
      <w:pPr>
        <w:autoSpaceDE w:val="0"/>
        <w:autoSpaceDN w:val="0"/>
        <w:adjustRightInd w:val="0"/>
        <w:snapToGrid w:val="0"/>
        <w:spacing w:line="360" w:lineRule="auto"/>
        <w:ind w:firstLine="315" w:firstLineChars="150"/>
        <w:rPr>
          <w:color w:val="auto"/>
          <w:highlight w:val="none"/>
        </w:rPr>
      </w:pPr>
      <w:r>
        <w:rPr>
          <w:rFonts w:hint="eastAsia"/>
          <w:color w:val="auto"/>
          <w:highlight w:val="none"/>
        </w:rPr>
        <w:t>（</w:t>
      </w:r>
      <w:r>
        <w:rPr>
          <w:color w:val="auto"/>
          <w:highlight w:val="none"/>
        </w:rPr>
        <w:t>4</w:t>
      </w:r>
      <w:r>
        <w:rPr>
          <w:rFonts w:hint="eastAsia"/>
          <w:color w:val="auto"/>
          <w:highlight w:val="none"/>
        </w:rPr>
        <w:t>）在比选过程中，比选申请授权代表帮别的比选申请单位签字，或比选申请单位在比选申请文件上错盖别的比选申请单位的印章，或者在比选申请文件上把自己公司名字写成别的比选申请单位名字等具有围标串标嫌疑的行为。</w:t>
      </w:r>
    </w:p>
    <w:p w14:paraId="7BF7F3D7">
      <w:pPr>
        <w:autoSpaceDE w:val="0"/>
        <w:autoSpaceDN w:val="0"/>
        <w:adjustRightInd w:val="0"/>
        <w:snapToGrid w:val="0"/>
        <w:spacing w:line="360" w:lineRule="auto"/>
        <w:ind w:firstLine="315" w:firstLineChars="150"/>
        <w:rPr>
          <w:color w:val="auto"/>
          <w:highlight w:val="none"/>
        </w:rPr>
      </w:pPr>
      <w:r>
        <w:rPr>
          <w:rFonts w:hint="eastAsia"/>
          <w:color w:val="auto"/>
          <w:highlight w:val="none"/>
        </w:rPr>
        <w:t>（</w:t>
      </w:r>
      <w:r>
        <w:rPr>
          <w:color w:val="auto"/>
          <w:highlight w:val="none"/>
        </w:rPr>
        <w:t>5</w:t>
      </w:r>
      <w:r>
        <w:rPr>
          <w:rFonts w:hint="eastAsia"/>
          <w:color w:val="auto"/>
          <w:highlight w:val="none"/>
        </w:rPr>
        <w:t>）对中选结果公示不满意，或者对质疑、投诉处理过程和结果不满意，相关单位在相关国家机构大吵大闹影响工作秩序的行为。</w:t>
      </w:r>
    </w:p>
    <w:p w14:paraId="39063F6E">
      <w:pPr>
        <w:autoSpaceDE w:val="0"/>
        <w:autoSpaceDN w:val="0"/>
        <w:adjustRightInd w:val="0"/>
        <w:snapToGrid w:val="0"/>
        <w:spacing w:line="360" w:lineRule="auto"/>
        <w:ind w:firstLine="315" w:firstLineChars="150"/>
        <w:rPr>
          <w:color w:val="auto"/>
          <w:highlight w:val="none"/>
        </w:rPr>
      </w:pPr>
      <w:r>
        <w:rPr>
          <w:rFonts w:hint="eastAsia"/>
          <w:color w:val="auto"/>
          <w:highlight w:val="none"/>
        </w:rPr>
        <w:t>在招比选过程中比选申请人或相关利害关系人有以上行为的，情节严重的，可取消其比选申请资格，其比选申请保证金将不予退还（如是中选候选人，将取消其中选资格），列入不诚信单位名单，并按国家规定进行处理。</w:t>
      </w:r>
    </w:p>
    <w:p w14:paraId="28BDFF9D">
      <w:pPr>
        <w:pStyle w:val="5"/>
        <w:snapToGrid w:val="0"/>
        <w:spacing w:line="360" w:lineRule="auto"/>
        <w:rPr>
          <w:rFonts w:ascii="宋体" w:hAnsi="宋体"/>
          <w:snapToGrid w:val="0"/>
          <w:color w:val="auto"/>
          <w:highlight w:val="none"/>
        </w:rPr>
      </w:pPr>
      <w:bookmarkStart w:id="610" w:name="_Toc26946"/>
      <w:bookmarkStart w:id="611" w:name="_Toc224103366"/>
      <w:bookmarkStart w:id="612" w:name="_Toc493602449"/>
      <w:bookmarkStart w:id="613" w:name="_Toc16000425"/>
      <w:bookmarkStart w:id="614" w:name="_Toc277082601"/>
      <w:bookmarkStart w:id="615" w:name="_Toc8235"/>
      <w:bookmarkStart w:id="616" w:name="_Toc26698"/>
      <w:bookmarkStart w:id="617" w:name="_Toc200513175"/>
      <w:bookmarkStart w:id="618" w:name="_Toc287607795"/>
      <w:bookmarkStart w:id="619" w:name="_Toc1563"/>
      <w:bookmarkStart w:id="620" w:name="_Toc483489718"/>
      <w:r>
        <w:rPr>
          <w:rFonts w:hint="eastAsia" w:ascii="宋体" w:hAnsi="宋体"/>
          <w:snapToGrid w:val="0"/>
          <w:color w:val="auto"/>
          <w:highlight w:val="none"/>
        </w:rPr>
        <w:t>9.3  对评标委员会成员的纪律要求</w:t>
      </w:r>
      <w:bookmarkEnd w:id="610"/>
      <w:bookmarkEnd w:id="611"/>
      <w:bookmarkEnd w:id="612"/>
      <w:bookmarkEnd w:id="613"/>
      <w:bookmarkEnd w:id="614"/>
      <w:bookmarkEnd w:id="615"/>
      <w:bookmarkEnd w:id="616"/>
      <w:bookmarkEnd w:id="617"/>
      <w:bookmarkEnd w:id="618"/>
      <w:bookmarkEnd w:id="619"/>
      <w:bookmarkEnd w:id="620"/>
    </w:p>
    <w:p w14:paraId="66B547AB">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评标委员会成员不得收受他人的财物或者其他好处，不得向他人透漏对比选申请文件的评审和比较、中选候选人的推荐情况以及评标有关的其他情况。在评标活动中，评标委员会成员不得擅离职守，影响评标程序正常进行，不得使用第三章“评标办法”没有规定的评审因素和标准进行评标。</w:t>
      </w:r>
    </w:p>
    <w:p w14:paraId="74C03AEE">
      <w:pPr>
        <w:pStyle w:val="5"/>
        <w:snapToGrid w:val="0"/>
        <w:spacing w:line="360" w:lineRule="auto"/>
        <w:rPr>
          <w:rFonts w:ascii="宋体" w:hAnsi="宋体"/>
          <w:snapToGrid w:val="0"/>
          <w:color w:val="auto"/>
          <w:highlight w:val="none"/>
        </w:rPr>
      </w:pPr>
      <w:bookmarkStart w:id="621" w:name="_Toc277082602"/>
      <w:bookmarkStart w:id="622" w:name="_Toc16000426"/>
      <w:bookmarkStart w:id="623" w:name="_Toc21027"/>
      <w:bookmarkStart w:id="624" w:name="_Toc224103367"/>
      <w:bookmarkStart w:id="625" w:name="_Toc20978"/>
      <w:bookmarkStart w:id="626" w:name="_Toc287607796"/>
      <w:bookmarkStart w:id="627" w:name="_Toc200513176"/>
      <w:bookmarkStart w:id="628" w:name="_Toc483489719"/>
      <w:bookmarkStart w:id="629" w:name="_Toc20424"/>
      <w:bookmarkStart w:id="630" w:name="_Toc493602450"/>
      <w:bookmarkStart w:id="631" w:name="_Toc29139"/>
      <w:r>
        <w:rPr>
          <w:rFonts w:hint="eastAsia" w:ascii="宋体" w:hAnsi="宋体"/>
          <w:snapToGrid w:val="0"/>
          <w:color w:val="auto"/>
          <w:highlight w:val="none"/>
        </w:rPr>
        <w:t>9.4  对参与评标活动有关的工作人员的纪律要求</w:t>
      </w:r>
      <w:bookmarkEnd w:id="621"/>
      <w:bookmarkEnd w:id="622"/>
      <w:bookmarkEnd w:id="623"/>
      <w:bookmarkEnd w:id="624"/>
      <w:bookmarkEnd w:id="625"/>
      <w:bookmarkEnd w:id="626"/>
      <w:bookmarkEnd w:id="627"/>
      <w:bookmarkEnd w:id="628"/>
      <w:bookmarkEnd w:id="629"/>
      <w:bookmarkEnd w:id="630"/>
      <w:bookmarkEnd w:id="631"/>
    </w:p>
    <w:p w14:paraId="6A1D903F">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与评标活动有关的工作人员不得收受他人的财物或者其他好处，不得向他人透漏对比选申请文件的评审和比较、中选候选人的推荐情况以及与评标有关的其他情况。在评标活动中，与评标活动有关的工作人员不得擅离职守，影响评标程序正常进行。</w:t>
      </w:r>
    </w:p>
    <w:p w14:paraId="23DC760D">
      <w:pPr>
        <w:pStyle w:val="5"/>
        <w:spacing w:line="360" w:lineRule="auto"/>
        <w:rPr>
          <w:rFonts w:ascii="仿宋_GB2312" w:eastAsia="仿宋_GB2312"/>
          <w:b w:val="0"/>
          <w:color w:val="auto"/>
          <w:highlight w:val="none"/>
        </w:rPr>
      </w:pPr>
      <w:bookmarkStart w:id="632" w:name="_Toc11914"/>
      <w:bookmarkStart w:id="633" w:name="_Toc2855"/>
      <w:bookmarkStart w:id="634" w:name="_Toc16000427"/>
      <w:bookmarkStart w:id="635" w:name="_Toc750"/>
      <w:r>
        <w:rPr>
          <w:rFonts w:hint="eastAsia" w:ascii="宋体" w:hAnsi="宋体"/>
          <w:bCs w:val="0"/>
          <w:snapToGrid w:val="0"/>
          <w:color w:val="auto"/>
          <w:highlight w:val="none"/>
        </w:rPr>
        <w:t>9.5  对中选人的诚信要求：</w:t>
      </w:r>
      <w:bookmarkEnd w:id="632"/>
      <w:bookmarkEnd w:id="633"/>
      <w:bookmarkEnd w:id="634"/>
      <w:bookmarkEnd w:id="635"/>
    </w:p>
    <w:p w14:paraId="772C20E2">
      <w:pPr>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1、为了减少由于拖欠农民工工资引起的停窝工现象，若中选人没有支付民工工资，导致农民工群体性事件发生，工程项目监督部门将中选人列入不诚信单位名单。</w:t>
      </w:r>
    </w:p>
    <w:p w14:paraId="08F0E3C1">
      <w:pPr>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2、凡中选人在九龙坡区承接的项目违背了施工合同条款和附件中的条款3次（含3次）的，并受过3次（含3次）处罚的，将会被九龙坡区作为不诚信单位，三年内不得参与九龙坡区工程建设项目的投标。</w:t>
      </w:r>
    </w:p>
    <w:p w14:paraId="4EBD3EA2">
      <w:pPr>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未经发包人同意，中选人在比选申请文件中填报的项目班子人员不得随意更换，若特殊情况下需更换项目班子人员必须报经相关单位同意。如中选人擅自更换项目班子或项目班子成员在相关检查中发现未在现场或未履职等情况，将按《重庆市九龙坡区政府投资建设项目标后监督管理暂行办法》的相关规定进行处理。</w:t>
      </w:r>
    </w:p>
    <w:p w14:paraId="641D42FC">
      <w:pPr>
        <w:pStyle w:val="5"/>
        <w:spacing w:line="360" w:lineRule="auto"/>
        <w:rPr>
          <w:rFonts w:ascii="宋体" w:hAnsi="宋体"/>
          <w:b w:val="0"/>
          <w:bCs w:val="0"/>
          <w:snapToGrid w:val="0"/>
          <w:color w:val="auto"/>
          <w:highlight w:val="none"/>
        </w:rPr>
      </w:pPr>
      <w:bookmarkStart w:id="636" w:name="_Toc493602451"/>
      <w:bookmarkStart w:id="637" w:name="_Toc32231"/>
      <w:bookmarkStart w:id="638" w:name="_Toc16000428"/>
      <w:bookmarkStart w:id="639" w:name="_Toc23027"/>
      <w:bookmarkStart w:id="640" w:name="_Toc26133"/>
      <w:bookmarkStart w:id="641" w:name="_Toc25799"/>
      <w:bookmarkStart w:id="642" w:name="_Toc483489720"/>
      <w:r>
        <w:rPr>
          <w:rFonts w:hint="eastAsia" w:ascii="宋体" w:hAnsi="宋体"/>
          <w:bCs w:val="0"/>
          <w:snapToGrid w:val="0"/>
          <w:color w:val="auto"/>
          <w:highlight w:val="none"/>
        </w:rPr>
        <w:t>9.6  监督及处理</w:t>
      </w:r>
      <w:bookmarkEnd w:id="636"/>
      <w:bookmarkEnd w:id="637"/>
      <w:bookmarkEnd w:id="638"/>
      <w:bookmarkEnd w:id="639"/>
      <w:bookmarkEnd w:id="640"/>
      <w:bookmarkEnd w:id="641"/>
      <w:bookmarkEnd w:id="642"/>
    </w:p>
    <w:p w14:paraId="7DF89BFE">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九龙坡区招投标监督部门对比选人、比选申请人及评标专家等有关人员在招投标活动中有违法违规行为的，将按照国家招投标法律法规及《重庆市招标投标行政处罚裁量基准及其适用规则》的规定进行处理。</w:t>
      </w:r>
    </w:p>
    <w:p w14:paraId="6F2B10F6">
      <w:pPr>
        <w:pStyle w:val="5"/>
        <w:spacing w:line="360" w:lineRule="auto"/>
        <w:rPr>
          <w:rFonts w:ascii="宋体" w:hAnsi="宋体"/>
          <w:bCs w:val="0"/>
          <w:snapToGrid w:val="0"/>
          <w:color w:val="auto"/>
          <w:highlight w:val="none"/>
        </w:rPr>
      </w:pPr>
      <w:bookmarkStart w:id="643" w:name="_Toc200513177"/>
      <w:bookmarkStart w:id="644" w:name="_Toc8701"/>
      <w:bookmarkStart w:id="645" w:name="_Toc16167"/>
      <w:bookmarkStart w:id="646" w:name="_Toc224103368"/>
      <w:bookmarkStart w:id="647" w:name="_Toc287607797"/>
      <w:bookmarkStart w:id="648" w:name="_Toc277082603"/>
      <w:bookmarkStart w:id="649" w:name="_Toc483489721"/>
      <w:bookmarkStart w:id="650" w:name="_Toc10896"/>
      <w:bookmarkStart w:id="651" w:name="_Toc493602452"/>
      <w:bookmarkStart w:id="652" w:name="_Toc4585"/>
      <w:bookmarkStart w:id="653" w:name="_Toc16000429"/>
      <w:r>
        <w:rPr>
          <w:rFonts w:hint="eastAsia" w:ascii="宋体" w:hAnsi="宋体"/>
          <w:bCs w:val="0"/>
          <w:snapToGrid w:val="0"/>
          <w:color w:val="auto"/>
          <w:highlight w:val="none"/>
        </w:rPr>
        <w:t>9.7  投诉</w:t>
      </w:r>
      <w:bookmarkEnd w:id="643"/>
      <w:bookmarkEnd w:id="644"/>
      <w:bookmarkEnd w:id="645"/>
      <w:bookmarkEnd w:id="646"/>
      <w:bookmarkEnd w:id="647"/>
      <w:bookmarkEnd w:id="648"/>
      <w:bookmarkEnd w:id="649"/>
      <w:bookmarkEnd w:id="650"/>
      <w:bookmarkEnd w:id="651"/>
      <w:bookmarkEnd w:id="652"/>
      <w:bookmarkEnd w:id="653"/>
    </w:p>
    <w:p w14:paraId="442EBD86">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比选申请人和其他利害关系人认为本次比选活动违反法律、法规和规章规定的，有权向有关行政监督部门投诉，投诉的具体要求和格式是须严格按照《工程建设项目招投标活动投诉处理办法》</w:t>
      </w:r>
      <w:bookmarkStart w:id="654" w:name="_Toc200513178"/>
      <w:bookmarkStart w:id="655" w:name="_Toc277082604"/>
      <w:bookmarkStart w:id="656" w:name="_Toc224103369"/>
      <w:bookmarkStart w:id="657" w:name="_Toc287607798"/>
      <w:bookmarkStart w:id="658" w:name="_Toc287620737"/>
      <w:r>
        <w:rPr>
          <w:rFonts w:hint="eastAsia" w:ascii="宋体" w:hAnsi="宋体" w:cs="MingLiU"/>
          <w:snapToGrid w:val="0"/>
          <w:color w:val="auto"/>
          <w:kern w:val="0"/>
          <w:szCs w:val="21"/>
          <w:highlight w:val="none"/>
        </w:rPr>
        <w:t>﹝七部委 11号令﹞执行. 需要补充的其他内容</w:t>
      </w:r>
      <w:bookmarkEnd w:id="654"/>
      <w:bookmarkEnd w:id="655"/>
      <w:bookmarkEnd w:id="656"/>
      <w:bookmarkEnd w:id="657"/>
      <w:bookmarkEnd w:id="658"/>
      <w:r>
        <w:rPr>
          <w:rFonts w:hint="eastAsia" w:ascii="宋体" w:hAnsi="宋体" w:cs="MingLiU"/>
          <w:snapToGrid w:val="0"/>
          <w:color w:val="auto"/>
          <w:kern w:val="0"/>
          <w:szCs w:val="21"/>
          <w:highlight w:val="none"/>
        </w:rPr>
        <w:t>。</w:t>
      </w:r>
    </w:p>
    <w:p w14:paraId="2A9EB015">
      <w:pPr>
        <w:pStyle w:val="4"/>
        <w:spacing w:line="360" w:lineRule="auto"/>
        <w:rPr>
          <w:rFonts w:ascii="宋体" w:hAnsi="宋体"/>
          <w:bCs w:val="0"/>
          <w:snapToGrid w:val="0"/>
          <w:color w:val="auto"/>
          <w:highlight w:val="none"/>
        </w:rPr>
      </w:pPr>
      <w:bookmarkStart w:id="659" w:name="_Toc16930"/>
      <w:bookmarkStart w:id="660" w:name="_Toc16362"/>
      <w:bookmarkStart w:id="661" w:name="_Toc6799"/>
      <w:bookmarkStart w:id="662" w:name="_Toc16000430"/>
      <w:bookmarkStart w:id="663" w:name="_Toc493602453"/>
      <w:r>
        <w:rPr>
          <w:rFonts w:hint="eastAsia" w:ascii="宋体" w:hAnsi="宋体"/>
          <w:bCs w:val="0"/>
          <w:snapToGrid w:val="0"/>
          <w:color w:val="auto"/>
          <w:highlight w:val="none"/>
        </w:rPr>
        <w:t>10.  不诚信行为和违规行为处理</w:t>
      </w:r>
      <w:bookmarkEnd w:id="659"/>
      <w:bookmarkEnd w:id="660"/>
      <w:bookmarkEnd w:id="661"/>
      <w:bookmarkEnd w:id="662"/>
      <w:bookmarkEnd w:id="663"/>
    </w:p>
    <w:p w14:paraId="7412CC14">
      <w:pPr>
        <w:autoSpaceDE w:val="0"/>
        <w:autoSpaceDN w:val="0"/>
        <w:adjustRightInd w:val="0"/>
        <w:snapToGrid w:val="0"/>
        <w:spacing w:line="360" w:lineRule="auto"/>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对参加我区工程项目招投标活动的相关单位和个人（指比选人、比选申请人、比选代理机构、评标专家）如经查实有不诚信行为或违规行为，将列入我区不诚信或违规单位（个人）名单，并视情况在九龙坡区公共资源综合交易网公示。</w:t>
      </w:r>
    </w:p>
    <w:p w14:paraId="292E08D5">
      <w:pPr>
        <w:pStyle w:val="4"/>
        <w:spacing w:line="360" w:lineRule="auto"/>
        <w:rPr>
          <w:rFonts w:ascii="宋体" w:hAnsi="宋体"/>
          <w:bCs w:val="0"/>
          <w:snapToGrid w:val="0"/>
          <w:color w:val="auto"/>
          <w:highlight w:val="none"/>
        </w:rPr>
        <w:sectPr>
          <w:pgSz w:w="11907" w:h="16839"/>
          <w:pgMar w:top="1480" w:right="1604" w:bottom="993" w:left="1680" w:header="720" w:footer="720" w:gutter="0"/>
          <w:pgNumType w:chapStyle="1"/>
          <w:cols w:space="720" w:num="1"/>
          <w:rtlGutter w:val="1"/>
        </w:sectPr>
      </w:pPr>
      <w:bookmarkStart w:id="664" w:name="_Toc16000431"/>
      <w:bookmarkStart w:id="665" w:name="_Toc6496"/>
      <w:bookmarkStart w:id="666" w:name="_Toc18925"/>
      <w:r>
        <w:rPr>
          <w:rFonts w:hint="eastAsia" w:ascii="宋体" w:hAnsi="宋体"/>
          <w:bCs w:val="0"/>
          <w:snapToGrid w:val="0"/>
          <w:color w:val="auto"/>
          <w:highlight w:val="none"/>
        </w:rPr>
        <w:t>11.  需要补充的其他内容：</w:t>
      </w:r>
      <w:bookmarkEnd w:id="664"/>
      <w:bookmarkEnd w:id="665"/>
      <w:bookmarkEnd w:id="666"/>
      <w:r>
        <w:rPr>
          <w:rFonts w:hint="eastAsia" w:ascii="宋体" w:hAnsi="宋体" w:cs="MingLiU"/>
          <w:snapToGrid w:val="0"/>
          <w:color w:val="auto"/>
          <w:kern w:val="0"/>
          <w:szCs w:val="21"/>
          <w:highlight w:val="none"/>
        </w:rPr>
        <w:t>见比选申请人须知前附表</w:t>
      </w:r>
    </w:p>
    <w:p w14:paraId="66CFB1C4">
      <w:pPr>
        <w:pStyle w:val="4"/>
        <w:spacing w:before="0" w:after="0" w:line="20" w:lineRule="exact"/>
        <w:rPr>
          <w:rFonts w:ascii="宋体" w:hAnsi="宋体"/>
          <w:b w:val="0"/>
          <w:snapToGrid w:val="0"/>
          <w:color w:val="auto"/>
          <w:highlight w:val="none"/>
        </w:rPr>
      </w:pPr>
    </w:p>
    <w:p w14:paraId="72E11A29">
      <w:pPr>
        <w:pStyle w:val="4"/>
        <w:spacing w:before="0" w:after="0" w:line="200" w:lineRule="exact"/>
        <w:rPr>
          <w:rFonts w:ascii="宋体" w:hAnsi="宋体"/>
          <w:b w:val="0"/>
          <w:snapToGrid w:val="0"/>
          <w:color w:val="auto"/>
          <w:highlight w:val="none"/>
        </w:rPr>
      </w:pPr>
    </w:p>
    <w:bookmarkEnd w:id="21"/>
    <w:bookmarkEnd w:id="22"/>
    <w:bookmarkEnd w:id="23"/>
    <w:bookmarkEnd w:id="24"/>
    <w:bookmarkEnd w:id="25"/>
    <w:bookmarkEnd w:id="26"/>
    <w:p w14:paraId="343D760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355C4A31">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61AF626A">
      <w:pPr>
        <w:autoSpaceDE w:val="0"/>
        <w:autoSpaceDN w:val="0"/>
        <w:adjustRightInd w:val="0"/>
        <w:snapToGrid w:val="0"/>
        <w:spacing w:line="360" w:lineRule="auto"/>
        <w:jc w:val="left"/>
        <w:rPr>
          <w:rFonts w:ascii="宋体" w:hAnsi="宋体"/>
          <w:b/>
          <w:snapToGrid w:val="0"/>
          <w:color w:val="auto"/>
          <w:kern w:val="0"/>
          <w:highlight w:val="none"/>
        </w:rPr>
      </w:pPr>
    </w:p>
    <w:p w14:paraId="3DFE3DCC">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6C77A6CE">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3119"/>
        <w:gridCol w:w="1275"/>
        <w:gridCol w:w="993"/>
        <w:gridCol w:w="1285"/>
        <w:gridCol w:w="947"/>
        <w:gridCol w:w="1311"/>
      </w:tblGrid>
      <w:tr w14:paraId="73538B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5C550708">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14:paraId="3E462FB5">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比选申请人</w:t>
            </w:r>
          </w:p>
        </w:tc>
        <w:tc>
          <w:tcPr>
            <w:tcW w:w="1134" w:type="dxa"/>
            <w:vAlign w:val="center"/>
          </w:tcPr>
          <w:p w14:paraId="2177B723">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密封情况</w:t>
            </w:r>
          </w:p>
        </w:tc>
        <w:tc>
          <w:tcPr>
            <w:tcW w:w="3119" w:type="dxa"/>
            <w:vAlign w:val="center"/>
          </w:tcPr>
          <w:p w14:paraId="26FFD03B">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总报价</w:t>
            </w:r>
          </w:p>
        </w:tc>
        <w:tc>
          <w:tcPr>
            <w:tcW w:w="1275" w:type="dxa"/>
            <w:vAlign w:val="center"/>
          </w:tcPr>
          <w:p w14:paraId="5C6CE72F">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vAlign w:val="center"/>
          </w:tcPr>
          <w:p w14:paraId="35C2EC91">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vAlign w:val="center"/>
          </w:tcPr>
          <w:p w14:paraId="1D5F0D3C">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vAlign w:val="center"/>
          </w:tcPr>
          <w:p w14:paraId="3A5F5A09">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14:paraId="31172717">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14:paraId="2EC5B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F08C00C">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2A937377">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A0242D1">
            <w:pPr>
              <w:autoSpaceDE w:val="0"/>
              <w:autoSpaceDN w:val="0"/>
              <w:adjustRightInd w:val="0"/>
              <w:snapToGrid w:val="0"/>
              <w:jc w:val="left"/>
              <w:rPr>
                <w:rFonts w:ascii="宋体" w:hAnsi="宋体"/>
                <w:snapToGrid w:val="0"/>
                <w:color w:val="auto"/>
                <w:kern w:val="0"/>
                <w:sz w:val="28"/>
                <w:szCs w:val="28"/>
                <w:highlight w:val="none"/>
              </w:rPr>
            </w:pPr>
          </w:p>
        </w:tc>
        <w:tc>
          <w:tcPr>
            <w:tcW w:w="3119" w:type="dxa"/>
            <w:vAlign w:val="center"/>
          </w:tcPr>
          <w:p w14:paraId="05FBE3E4">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40CFF4FB">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28BCD6C2">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3C1780F5">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76C86E63">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773CD8E4">
            <w:pPr>
              <w:autoSpaceDE w:val="0"/>
              <w:autoSpaceDN w:val="0"/>
              <w:adjustRightInd w:val="0"/>
              <w:snapToGrid w:val="0"/>
              <w:jc w:val="left"/>
              <w:rPr>
                <w:rFonts w:ascii="宋体" w:hAnsi="宋体"/>
                <w:snapToGrid w:val="0"/>
                <w:color w:val="auto"/>
                <w:kern w:val="0"/>
                <w:sz w:val="28"/>
                <w:szCs w:val="28"/>
                <w:highlight w:val="none"/>
              </w:rPr>
            </w:pPr>
          </w:p>
        </w:tc>
      </w:tr>
      <w:tr w14:paraId="1AF16B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711983F">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5B162844">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09745795">
            <w:pPr>
              <w:autoSpaceDE w:val="0"/>
              <w:autoSpaceDN w:val="0"/>
              <w:adjustRightInd w:val="0"/>
              <w:snapToGrid w:val="0"/>
              <w:jc w:val="left"/>
              <w:rPr>
                <w:rFonts w:ascii="宋体" w:hAnsi="宋体"/>
                <w:snapToGrid w:val="0"/>
                <w:color w:val="auto"/>
                <w:kern w:val="0"/>
                <w:sz w:val="28"/>
                <w:szCs w:val="28"/>
                <w:highlight w:val="none"/>
              </w:rPr>
            </w:pPr>
          </w:p>
        </w:tc>
        <w:tc>
          <w:tcPr>
            <w:tcW w:w="3119" w:type="dxa"/>
            <w:vAlign w:val="center"/>
          </w:tcPr>
          <w:p w14:paraId="6B97A8C1">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045039B7">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5FE524D5">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7C6849C3">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3F239C7">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49A68680">
            <w:pPr>
              <w:autoSpaceDE w:val="0"/>
              <w:autoSpaceDN w:val="0"/>
              <w:adjustRightInd w:val="0"/>
              <w:snapToGrid w:val="0"/>
              <w:jc w:val="left"/>
              <w:rPr>
                <w:rFonts w:ascii="宋体" w:hAnsi="宋体"/>
                <w:snapToGrid w:val="0"/>
                <w:color w:val="auto"/>
                <w:kern w:val="0"/>
                <w:sz w:val="28"/>
                <w:szCs w:val="28"/>
                <w:highlight w:val="none"/>
              </w:rPr>
            </w:pPr>
          </w:p>
        </w:tc>
      </w:tr>
      <w:tr w14:paraId="5BCCFF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1B21B9D">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1DB4DE97">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0FF0D96B">
            <w:pPr>
              <w:autoSpaceDE w:val="0"/>
              <w:autoSpaceDN w:val="0"/>
              <w:adjustRightInd w:val="0"/>
              <w:snapToGrid w:val="0"/>
              <w:jc w:val="left"/>
              <w:rPr>
                <w:rFonts w:ascii="宋体" w:hAnsi="宋体"/>
                <w:snapToGrid w:val="0"/>
                <w:color w:val="auto"/>
                <w:kern w:val="0"/>
                <w:sz w:val="28"/>
                <w:szCs w:val="28"/>
                <w:highlight w:val="none"/>
              </w:rPr>
            </w:pPr>
          </w:p>
        </w:tc>
        <w:tc>
          <w:tcPr>
            <w:tcW w:w="3119" w:type="dxa"/>
            <w:vAlign w:val="center"/>
          </w:tcPr>
          <w:p w14:paraId="3DB12C30">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36454712">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1656B31B">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1915780B">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3737BE05">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23064EAE">
            <w:pPr>
              <w:autoSpaceDE w:val="0"/>
              <w:autoSpaceDN w:val="0"/>
              <w:adjustRightInd w:val="0"/>
              <w:snapToGrid w:val="0"/>
              <w:jc w:val="left"/>
              <w:rPr>
                <w:rFonts w:ascii="宋体" w:hAnsi="宋体"/>
                <w:snapToGrid w:val="0"/>
                <w:color w:val="auto"/>
                <w:kern w:val="0"/>
                <w:sz w:val="28"/>
                <w:szCs w:val="28"/>
                <w:highlight w:val="none"/>
              </w:rPr>
            </w:pPr>
          </w:p>
        </w:tc>
      </w:tr>
      <w:tr w14:paraId="150147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8D989D4">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007E8FA9">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12F9C117">
            <w:pPr>
              <w:autoSpaceDE w:val="0"/>
              <w:autoSpaceDN w:val="0"/>
              <w:adjustRightInd w:val="0"/>
              <w:snapToGrid w:val="0"/>
              <w:jc w:val="left"/>
              <w:rPr>
                <w:rFonts w:ascii="宋体" w:hAnsi="宋体"/>
                <w:snapToGrid w:val="0"/>
                <w:color w:val="auto"/>
                <w:kern w:val="0"/>
                <w:sz w:val="28"/>
                <w:szCs w:val="28"/>
                <w:highlight w:val="none"/>
              </w:rPr>
            </w:pPr>
          </w:p>
        </w:tc>
        <w:tc>
          <w:tcPr>
            <w:tcW w:w="3119" w:type="dxa"/>
            <w:vAlign w:val="center"/>
          </w:tcPr>
          <w:p w14:paraId="691E25EF">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58D1A288">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E2483AF">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2387D96D">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0D6AA8B2">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186BE509">
            <w:pPr>
              <w:autoSpaceDE w:val="0"/>
              <w:autoSpaceDN w:val="0"/>
              <w:adjustRightInd w:val="0"/>
              <w:snapToGrid w:val="0"/>
              <w:jc w:val="left"/>
              <w:rPr>
                <w:rFonts w:ascii="宋体" w:hAnsi="宋体"/>
                <w:snapToGrid w:val="0"/>
                <w:color w:val="auto"/>
                <w:kern w:val="0"/>
                <w:sz w:val="28"/>
                <w:szCs w:val="28"/>
                <w:highlight w:val="none"/>
              </w:rPr>
            </w:pPr>
          </w:p>
        </w:tc>
      </w:tr>
      <w:tr w14:paraId="68A468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30427E3">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63A1E563">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363F9DE6">
            <w:pPr>
              <w:autoSpaceDE w:val="0"/>
              <w:autoSpaceDN w:val="0"/>
              <w:adjustRightInd w:val="0"/>
              <w:snapToGrid w:val="0"/>
              <w:jc w:val="left"/>
              <w:rPr>
                <w:rFonts w:ascii="宋体" w:hAnsi="宋体"/>
                <w:snapToGrid w:val="0"/>
                <w:color w:val="auto"/>
                <w:kern w:val="0"/>
                <w:sz w:val="28"/>
                <w:szCs w:val="28"/>
                <w:highlight w:val="none"/>
              </w:rPr>
            </w:pPr>
          </w:p>
        </w:tc>
        <w:tc>
          <w:tcPr>
            <w:tcW w:w="3119" w:type="dxa"/>
            <w:vAlign w:val="center"/>
          </w:tcPr>
          <w:p w14:paraId="6C3515A1">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1B0EB672">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459A501">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0CF577B5">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78132CA">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60B13A1D">
            <w:pPr>
              <w:autoSpaceDE w:val="0"/>
              <w:autoSpaceDN w:val="0"/>
              <w:adjustRightInd w:val="0"/>
              <w:snapToGrid w:val="0"/>
              <w:jc w:val="left"/>
              <w:rPr>
                <w:rFonts w:ascii="宋体" w:hAnsi="宋体"/>
                <w:snapToGrid w:val="0"/>
                <w:color w:val="auto"/>
                <w:kern w:val="0"/>
                <w:sz w:val="28"/>
                <w:szCs w:val="28"/>
                <w:highlight w:val="none"/>
              </w:rPr>
            </w:pPr>
          </w:p>
        </w:tc>
      </w:tr>
      <w:tr w14:paraId="2BFC02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0D26650">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2BD574ED">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7FEE4221">
            <w:pPr>
              <w:autoSpaceDE w:val="0"/>
              <w:autoSpaceDN w:val="0"/>
              <w:adjustRightInd w:val="0"/>
              <w:snapToGrid w:val="0"/>
              <w:jc w:val="left"/>
              <w:rPr>
                <w:rFonts w:ascii="宋体" w:hAnsi="宋体"/>
                <w:snapToGrid w:val="0"/>
                <w:color w:val="auto"/>
                <w:kern w:val="0"/>
                <w:sz w:val="28"/>
                <w:szCs w:val="28"/>
                <w:highlight w:val="none"/>
              </w:rPr>
            </w:pPr>
          </w:p>
        </w:tc>
        <w:tc>
          <w:tcPr>
            <w:tcW w:w="3119" w:type="dxa"/>
            <w:vAlign w:val="center"/>
          </w:tcPr>
          <w:p w14:paraId="3FC30935">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29115F21">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9EA437C">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38E5705F">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459CAAF2">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7C81C6D">
            <w:pPr>
              <w:autoSpaceDE w:val="0"/>
              <w:autoSpaceDN w:val="0"/>
              <w:adjustRightInd w:val="0"/>
              <w:snapToGrid w:val="0"/>
              <w:jc w:val="left"/>
              <w:rPr>
                <w:rFonts w:ascii="宋体" w:hAnsi="宋体"/>
                <w:snapToGrid w:val="0"/>
                <w:color w:val="auto"/>
                <w:kern w:val="0"/>
                <w:sz w:val="28"/>
                <w:szCs w:val="28"/>
                <w:highlight w:val="none"/>
              </w:rPr>
            </w:pPr>
          </w:p>
        </w:tc>
      </w:tr>
      <w:tr w14:paraId="0E3DA3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78DC8A7">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70A2BEFD">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0B90155B">
            <w:pPr>
              <w:autoSpaceDE w:val="0"/>
              <w:autoSpaceDN w:val="0"/>
              <w:adjustRightInd w:val="0"/>
              <w:snapToGrid w:val="0"/>
              <w:jc w:val="left"/>
              <w:rPr>
                <w:rFonts w:ascii="宋体" w:hAnsi="宋体"/>
                <w:snapToGrid w:val="0"/>
                <w:color w:val="auto"/>
                <w:kern w:val="0"/>
                <w:sz w:val="28"/>
                <w:szCs w:val="28"/>
                <w:highlight w:val="none"/>
              </w:rPr>
            </w:pPr>
          </w:p>
        </w:tc>
        <w:tc>
          <w:tcPr>
            <w:tcW w:w="3119" w:type="dxa"/>
            <w:vAlign w:val="center"/>
          </w:tcPr>
          <w:p w14:paraId="52F344AE">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3FB3856E">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184BD997">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7A3CD294">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4AE2AA31">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27A00E5C">
            <w:pPr>
              <w:autoSpaceDE w:val="0"/>
              <w:autoSpaceDN w:val="0"/>
              <w:adjustRightInd w:val="0"/>
              <w:snapToGrid w:val="0"/>
              <w:jc w:val="left"/>
              <w:rPr>
                <w:rFonts w:ascii="宋体" w:hAnsi="宋体"/>
                <w:snapToGrid w:val="0"/>
                <w:color w:val="auto"/>
                <w:kern w:val="0"/>
                <w:sz w:val="28"/>
                <w:szCs w:val="28"/>
                <w:highlight w:val="none"/>
              </w:rPr>
            </w:pPr>
          </w:p>
        </w:tc>
      </w:tr>
      <w:tr w14:paraId="076F57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63BB8E5E">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10064" w:type="dxa"/>
            <w:gridSpan w:val="7"/>
            <w:tcBorders>
              <w:bottom w:val="single" w:color="auto" w:sz="4" w:space="0"/>
            </w:tcBorders>
            <w:vAlign w:val="center"/>
          </w:tcPr>
          <w:p w14:paraId="1BD2877F">
            <w:pPr>
              <w:autoSpaceDE w:val="0"/>
              <w:autoSpaceDN w:val="0"/>
              <w:adjustRightInd w:val="0"/>
              <w:snapToGrid w:val="0"/>
              <w:jc w:val="left"/>
              <w:rPr>
                <w:rFonts w:ascii="宋体" w:hAnsi="宋体"/>
                <w:snapToGrid w:val="0"/>
                <w:color w:val="auto"/>
                <w:kern w:val="0"/>
                <w:szCs w:val="21"/>
                <w:highlight w:val="none"/>
              </w:rPr>
            </w:pPr>
          </w:p>
        </w:tc>
      </w:tr>
    </w:tbl>
    <w:p w14:paraId="7ED089B9">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14:paraId="46680DA0">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pPr>
      <w:r>
        <w:rPr>
          <w:rFonts w:ascii="宋体" w:hAnsi="宋体"/>
          <w:snapToGrid w:val="0"/>
          <w:color w:val="auto"/>
          <w:kern w:val="0"/>
          <w:szCs w:val="21"/>
          <w:highlight w:val="none"/>
        </w:rPr>
        <w:t>比选人代表：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hint="eastAsia" w:ascii="宋体" w:hAnsi="宋体"/>
          <w:snapToGrid w:val="0"/>
          <w:color w:val="auto"/>
          <w:kern w:val="0"/>
          <w:szCs w:val="21"/>
          <w:highlight w:val="none"/>
        </w:rPr>
        <w:t>主持人</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785F2618">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3CD5749F">
      <w:pPr>
        <w:autoSpaceDE w:val="0"/>
        <w:autoSpaceDN w:val="0"/>
        <w:adjustRightInd w:val="0"/>
        <w:snapToGrid w:val="0"/>
        <w:spacing w:before="62" w:beforeLines="20" w:line="360" w:lineRule="auto"/>
        <w:rPr>
          <w:rFonts w:ascii="宋体" w:hAnsi="宋体"/>
          <w:snapToGrid w:val="0"/>
          <w:color w:val="auto"/>
          <w:kern w:val="0"/>
          <w:sz w:val="24"/>
          <w:highlight w:val="none"/>
        </w:rPr>
      </w:pPr>
      <w:r>
        <w:rPr>
          <w:rFonts w:ascii="宋体" w:hAnsi="宋体"/>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二</w:t>
      </w:r>
      <w:r>
        <w:rPr>
          <w:rFonts w:ascii="宋体" w:hAnsi="宋体"/>
          <w:b/>
          <w:snapToGrid w:val="0"/>
          <w:color w:val="auto"/>
          <w:kern w:val="0"/>
          <w:highlight w:val="none"/>
        </w:rPr>
        <w:t>：纸质投标保函递交情况一览表（如有）</w:t>
      </w:r>
    </w:p>
    <w:p w14:paraId="407E089D">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（项目名称）纸质投标保函</w:t>
      </w:r>
      <w:r>
        <w:rPr>
          <w:rFonts w:hint="eastAsia" w:ascii="宋体" w:hAnsi="宋体"/>
          <w:b/>
          <w:snapToGrid w:val="0"/>
          <w:color w:val="auto"/>
          <w:w w:val="99"/>
          <w:kern w:val="0"/>
          <w:sz w:val="28"/>
          <w:szCs w:val="28"/>
          <w:highlight w:val="none"/>
          <w:u w:val="single"/>
        </w:rPr>
        <w:t>递交</w:t>
      </w:r>
      <w:r>
        <w:rPr>
          <w:rFonts w:ascii="宋体" w:hAnsi="宋体"/>
          <w:b/>
          <w:snapToGrid w:val="0"/>
          <w:color w:val="auto"/>
          <w:w w:val="99"/>
          <w:kern w:val="0"/>
          <w:sz w:val="28"/>
          <w:szCs w:val="28"/>
          <w:highlight w:val="none"/>
          <w:u w:val="single"/>
        </w:rPr>
        <w:t>情况一览表</w:t>
      </w:r>
    </w:p>
    <w:p w14:paraId="5914B198">
      <w:pPr>
        <w:autoSpaceDE w:val="0"/>
        <w:autoSpaceDN w:val="0"/>
        <w:adjustRightInd w:val="0"/>
        <w:snapToGrid w:val="0"/>
        <w:spacing w:before="62" w:beforeLines="20" w:line="360" w:lineRule="auto"/>
        <w:ind w:firstLine="8610" w:firstLineChars="4100"/>
        <w:rPr>
          <w:rFonts w:ascii="宋体" w:hAnsi="宋体"/>
          <w:color w:val="auto"/>
          <w:szCs w:val="21"/>
          <w:highlight w:val="none"/>
        </w:rPr>
      </w:pPr>
      <w:r>
        <w:rPr>
          <w:rFonts w:hint="eastAsia" w:ascii="宋体" w:hAnsi="宋体"/>
          <w:snapToGrid w:val="0"/>
          <w:color w:val="auto"/>
          <w:kern w:val="0"/>
          <w:szCs w:val="21"/>
          <w:highlight w:val="none"/>
        </w:rPr>
        <w:t>投标截止时间</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7"/>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512A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8C3BB47">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4160" w:type="dxa"/>
          </w:tcPr>
          <w:p w14:paraId="4800C17A">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比选申请人</w:t>
            </w:r>
          </w:p>
        </w:tc>
        <w:tc>
          <w:tcPr>
            <w:tcW w:w="3088" w:type="dxa"/>
          </w:tcPr>
          <w:p w14:paraId="6C0A4D50">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金额（元）</w:t>
            </w:r>
          </w:p>
        </w:tc>
        <w:tc>
          <w:tcPr>
            <w:tcW w:w="2987" w:type="dxa"/>
          </w:tcPr>
          <w:p w14:paraId="757B389F">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递交时间</w:t>
            </w:r>
          </w:p>
        </w:tc>
        <w:tc>
          <w:tcPr>
            <w:tcW w:w="3175" w:type="dxa"/>
          </w:tcPr>
          <w:p w14:paraId="2CA122A7">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5EDB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50C2028">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7879BAA8">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72C780B0">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16F4B615">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5CE87A64">
            <w:pPr>
              <w:autoSpaceDE w:val="0"/>
              <w:autoSpaceDN w:val="0"/>
              <w:adjustRightInd w:val="0"/>
              <w:snapToGrid w:val="0"/>
              <w:spacing w:before="62" w:beforeLines="20" w:line="360" w:lineRule="auto"/>
              <w:rPr>
                <w:rFonts w:ascii="宋体" w:hAnsi="宋体"/>
                <w:color w:val="auto"/>
                <w:szCs w:val="21"/>
                <w:highlight w:val="none"/>
              </w:rPr>
            </w:pPr>
          </w:p>
        </w:tc>
      </w:tr>
      <w:tr w14:paraId="7FDD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1283E0D">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5D88027C">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0BDC0A37">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09FEE8B3">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58E07274">
            <w:pPr>
              <w:autoSpaceDE w:val="0"/>
              <w:autoSpaceDN w:val="0"/>
              <w:adjustRightInd w:val="0"/>
              <w:snapToGrid w:val="0"/>
              <w:spacing w:before="62" w:beforeLines="20" w:line="360" w:lineRule="auto"/>
              <w:rPr>
                <w:rFonts w:ascii="宋体" w:hAnsi="宋体"/>
                <w:color w:val="auto"/>
                <w:szCs w:val="21"/>
                <w:highlight w:val="none"/>
              </w:rPr>
            </w:pPr>
          </w:p>
        </w:tc>
      </w:tr>
      <w:tr w14:paraId="4C7F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EB7D498">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0177A883">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7730D715">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358AF470">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536A6D24">
            <w:pPr>
              <w:autoSpaceDE w:val="0"/>
              <w:autoSpaceDN w:val="0"/>
              <w:adjustRightInd w:val="0"/>
              <w:snapToGrid w:val="0"/>
              <w:spacing w:before="62" w:beforeLines="20" w:line="360" w:lineRule="auto"/>
              <w:rPr>
                <w:rFonts w:ascii="宋体" w:hAnsi="宋体"/>
                <w:color w:val="auto"/>
                <w:szCs w:val="21"/>
                <w:highlight w:val="none"/>
              </w:rPr>
            </w:pPr>
          </w:p>
        </w:tc>
      </w:tr>
      <w:tr w14:paraId="6F04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375DB7B">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4387F621">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587DFA8">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6F56D9AF">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4FDC254A">
            <w:pPr>
              <w:autoSpaceDE w:val="0"/>
              <w:autoSpaceDN w:val="0"/>
              <w:adjustRightInd w:val="0"/>
              <w:snapToGrid w:val="0"/>
              <w:spacing w:before="62" w:beforeLines="20" w:line="360" w:lineRule="auto"/>
              <w:rPr>
                <w:rFonts w:ascii="宋体" w:hAnsi="宋体"/>
                <w:color w:val="auto"/>
                <w:szCs w:val="21"/>
                <w:highlight w:val="none"/>
              </w:rPr>
            </w:pPr>
          </w:p>
        </w:tc>
      </w:tr>
      <w:tr w14:paraId="7282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346E16D">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1BDB2349">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1E20D6DC">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110AB482">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2063AFBE">
            <w:pPr>
              <w:autoSpaceDE w:val="0"/>
              <w:autoSpaceDN w:val="0"/>
              <w:adjustRightInd w:val="0"/>
              <w:snapToGrid w:val="0"/>
              <w:spacing w:before="62" w:beforeLines="20" w:line="360" w:lineRule="auto"/>
              <w:rPr>
                <w:rFonts w:ascii="宋体" w:hAnsi="宋体"/>
                <w:color w:val="auto"/>
                <w:szCs w:val="21"/>
                <w:highlight w:val="none"/>
              </w:rPr>
            </w:pPr>
          </w:p>
        </w:tc>
      </w:tr>
      <w:tr w14:paraId="4006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C81605C">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4D8BA0FE">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676180C7">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4E5DECD8">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36FD48EA">
            <w:pPr>
              <w:autoSpaceDE w:val="0"/>
              <w:autoSpaceDN w:val="0"/>
              <w:adjustRightInd w:val="0"/>
              <w:snapToGrid w:val="0"/>
              <w:spacing w:before="62" w:beforeLines="20" w:line="360" w:lineRule="auto"/>
              <w:rPr>
                <w:rFonts w:ascii="宋体" w:hAnsi="宋体"/>
                <w:color w:val="auto"/>
                <w:szCs w:val="21"/>
                <w:highlight w:val="none"/>
              </w:rPr>
            </w:pPr>
          </w:p>
        </w:tc>
      </w:tr>
      <w:tr w14:paraId="58D9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407903B">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4EC98943">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503D83AF">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12697B0D">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75A788B">
            <w:pPr>
              <w:autoSpaceDE w:val="0"/>
              <w:autoSpaceDN w:val="0"/>
              <w:adjustRightInd w:val="0"/>
              <w:snapToGrid w:val="0"/>
              <w:spacing w:before="62" w:beforeLines="20" w:line="360" w:lineRule="auto"/>
              <w:rPr>
                <w:rFonts w:ascii="宋体" w:hAnsi="宋体"/>
                <w:color w:val="auto"/>
                <w:szCs w:val="21"/>
                <w:highlight w:val="none"/>
              </w:rPr>
            </w:pPr>
          </w:p>
        </w:tc>
      </w:tr>
      <w:tr w14:paraId="24C8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A631204">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6ECB7FE7">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40F5B460">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7D1FFE06">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3124FE7D">
            <w:pPr>
              <w:autoSpaceDE w:val="0"/>
              <w:autoSpaceDN w:val="0"/>
              <w:adjustRightInd w:val="0"/>
              <w:snapToGrid w:val="0"/>
              <w:spacing w:before="62" w:beforeLines="20" w:line="360" w:lineRule="auto"/>
              <w:rPr>
                <w:rFonts w:ascii="宋体" w:hAnsi="宋体"/>
                <w:color w:val="auto"/>
                <w:szCs w:val="21"/>
                <w:highlight w:val="none"/>
              </w:rPr>
            </w:pPr>
          </w:p>
        </w:tc>
      </w:tr>
      <w:tr w14:paraId="0154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46371BC">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06B87A00">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52F2D9D">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1ED1D1B3">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F07067F">
            <w:pPr>
              <w:autoSpaceDE w:val="0"/>
              <w:autoSpaceDN w:val="0"/>
              <w:adjustRightInd w:val="0"/>
              <w:snapToGrid w:val="0"/>
              <w:spacing w:before="62" w:beforeLines="20" w:line="360" w:lineRule="auto"/>
              <w:rPr>
                <w:rFonts w:ascii="宋体" w:hAnsi="宋体"/>
                <w:color w:val="auto"/>
                <w:szCs w:val="21"/>
                <w:highlight w:val="none"/>
              </w:rPr>
            </w:pPr>
          </w:p>
        </w:tc>
      </w:tr>
      <w:tr w14:paraId="45EB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A802711">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3FB3D43E">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4D45A050">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69778B53">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7F444859">
            <w:pPr>
              <w:autoSpaceDE w:val="0"/>
              <w:autoSpaceDN w:val="0"/>
              <w:adjustRightInd w:val="0"/>
              <w:snapToGrid w:val="0"/>
              <w:spacing w:before="62" w:beforeLines="20" w:line="360" w:lineRule="auto"/>
              <w:rPr>
                <w:rFonts w:ascii="宋体" w:hAnsi="宋体"/>
                <w:color w:val="auto"/>
                <w:szCs w:val="21"/>
                <w:highlight w:val="none"/>
              </w:rPr>
            </w:pPr>
          </w:p>
        </w:tc>
      </w:tr>
      <w:tr w14:paraId="085F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2D2C620">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19AAC324">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B0978D3">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06B7674E">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7E03825A">
            <w:pPr>
              <w:autoSpaceDE w:val="0"/>
              <w:autoSpaceDN w:val="0"/>
              <w:adjustRightInd w:val="0"/>
              <w:snapToGrid w:val="0"/>
              <w:spacing w:before="62" w:beforeLines="20" w:line="360" w:lineRule="auto"/>
              <w:rPr>
                <w:rFonts w:ascii="宋体" w:hAnsi="宋体"/>
                <w:color w:val="auto"/>
                <w:szCs w:val="21"/>
                <w:highlight w:val="none"/>
              </w:rPr>
            </w:pPr>
          </w:p>
        </w:tc>
      </w:tr>
      <w:tr w14:paraId="5B09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319B62C">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0A7C36D2">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E0B3EFF">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57350641">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4EA7B154">
            <w:pPr>
              <w:autoSpaceDE w:val="0"/>
              <w:autoSpaceDN w:val="0"/>
              <w:adjustRightInd w:val="0"/>
              <w:snapToGrid w:val="0"/>
              <w:spacing w:before="62" w:beforeLines="20" w:line="360" w:lineRule="auto"/>
              <w:rPr>
                <w:rFonts w:ascii="宋体" w:hAnsi="宋体"/>
                <w:color w:val="auto"/>
                <w:szCs w:val="21"/>
                <w:highlight w:val="none"/>
              </w:rPr>
            </w:pPr>
          </w:p>
        </w:tc>
      </w:tr>
    </w:tbl>
    <w:p w14:paraId="195A2148">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p>
    <w:p w14:paraId="0B7641FC">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pPr>
      <w:r>
        <w:rPr>
          <w:rFonts w:ascii="宋体" w:hAnsi="宋体"/>
          <w:snapToGrid w:val="0"/>
          <w:color w:val="auto"/>
          <w:kern w:val="0"/>
          <w:szCs w:val="21"/>
          <w:highlight w:val="none"/>
        </w:rPr>
        <w:t>比选人代表：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34C50C91">
      <w:pPr>
        <w:pStyle w:val="2"/>
        <w:jc w:val="right"/>
        <w:rPr>
          <w:color w:val="auto"/>
          <w:highlight w:val="none"/>
        </w:rPr>
      </w:pP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5CD91511">
      <w:pPr>
        <w:autoSpaceDE w:val="0"/>
        <w:autoSpaceDN w:val="0"/>
        <w:adjustRightInd w:val="0"/>
        <w:snapToGrid w:val="0"/>
        <w:spacing w:before="62" w:beforeLines="20" w:line="360" w:lineRule="auto"/>
        <w:rPr>
          <w:rFonts w:ascii="宋体" w:hAnsi="宋体"/>
          <w:color w:val="auto"/>
          <w:szCs w:val="21"/>
          <w:highlight w:val="none"/>
        </w:rPr>
      </w:pPr>
    </w:p>
    <w:p w14:paraId="4B811D09">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sectPr>
          <w:footerReference r:id="rId6" w:type="default"/>
          <w:pgSz w:w="16838" w:h="11906" w:orient="landscape"/>
          <w:pgMar w:top="1304" w:right="1304" w:bottom="1134" w:left="1304" w:header="851" w:footer="992" w:gutter="0"/>
          <w:cols w:space="720" w:num="1"/>
          <w:docGrid w:type="lines" w:linePitch="312" w:charSpace="0"/>
        </w:sectPr>
      </w:pPr>
    </w:p>
    <w:p w14:paraId="7C8FC521">
      <w:pPr>
        <w:autoSpaceDE w:val="0"/>
        <w:autoSpaceDN w:val="0"/>
        <w:adjustRightInd w:val="0"/>
        <w:snapToGrid w:val="0"/>
        <w:spacing w:line="360" w:lineRule="auto"/>
        <w:jc w:val="left"/>
        <w:rPr>
          <w:rFonts w:ascii="宋体" w:hAnsi="宋体"/>
          <w:b/>
          <w:snapToGrid w:val="0"/>
          <w:color w:val="auto"/>
          <w:kern w:val="0"/>
          <w:highlight w:val="none"/>
        </w:rPr>
      </w:pPr>
    </w:p>
    <w:p w14:paraId="4D26B037">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：问题澄清通知</w:t>
      </w:r>
    </w:p>
    <w:p w14:paraId="40DEE3AA">
      <w:pPr>
        <w:autoSpaceDE w:val="0"/>
        <w:autoSpaceDN w:val="0"/>
        <w:adjustRightInd w:val="0"/>
        <w:snapToGrid w:val="0"/>
        <w:spacing w:line="360" w:lineRule="auto"/>
        <w:jc w:val="left"/>
        <w:rPr>
          <w:rFonts w:ascii="宋体" w:hAnsi="宋体"/>
          <w:b/>
          <w:snapToGrid w:val="0"/>
          <w:color w:val="auto"/>
          <w:kern w:val="0"/>
          <w:sz w:val="24"/>
          <w:highlight w:val="none"/>
        </w:rPr>
      </w:pPr>
    </w:p>
    <w:p w14:paraId="5CE4AF0C">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4D0B0DE9">
      <w:pPr>
        <w:autoSpaceDE w:val="0"/>
        <w:autoSpaceDN w:val="0"/>
        <w:adjustRightInd w:val="0"/>
        <w:snapToGrid w:val="0"/>
        <w:spacing w:line="360" w:lineRule="auto"/>
        <w:jc w:val="left"/>
        <w:rPr>
          <w:rFonts w:ascii="宋体" w:hAnsi="宋体"/>
          <w:b/>
          <w:snapToGrid w:val="0"/>
          <w:color w:val="auto"/>
          <w:kern w:val="0"/>
          <w:sz w:val="24"/>
          <w:highlight w:val="none"/>
        </w:rPr>
      </w:pPr>
    </w:p>
    <w:p w14:paraId="168FABBC">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53410B81">
      <w:pPr>
        <w:autoSpaceDE w:val="0"/>
        <w:autoSpaceDN w:val="0"/>
        <w:adjustRightInd w:val="0"/>
        <w:snapToGrid w:val="0"/>
        <w:spacing w:line="360" w:lineRule="auto"/>
        <w:jc w:val="left"/>
        <w:rPr>
          <w:rFonts w:ascii="宋体" w:hAnsi="宋体"/>
          <w:b/>
          <w:snapToGrid w:val="0"/>
          <w:color w:val="auto"/>
          <w:kern w:val="0"/>
          <w:sz w:val="24"/>
          <w:highlight w:val="none"/>
        </w:rPr>
      </w:pPr>
    </w:p>
    <w:p w14:paraId="0113750E">
      <w:pPr>
        <w:autoSpaceDE w:val="0"/>
        <w:autoSpaceDN w:val="0"/>
        <w:adjustRightInd w:val="0"/>
        <w:snapToGrid w:val="0"/>
        <w:spacing w:line="360" w:lineRule="auto"/>
        <w:rPr>
          <w:rFonts w:ascii="宋体" w:hAnsi="宋体"/>
          <w:snapToGrid w:val="0"/>
          <w:color w:val="auto"/>
          <w:kern w:val="0"/>
          <w:sz w:val="28"/>
          <w:szCs w:val="28"/>
          <w:highlight w:val="none"/>
        </w:rPr>
      </w:pPr>
    </w:p>
    <w:p w14:paraId="078E1003">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（比选申请人名称）：</w:t>
      </w:r>
    </w:p>
    <w:p w14:paraId="0B59181F">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的评标委员会，对你方的比选申请文件进行了仔细的审查，现需你方对下列问题以书面形式予以澄清：</w:t>
      </w:r>
    </w:p>
    <w:p w14:paraId="41FA7B22">
      <w:pPr>
        <w:autoSpaceDE w:val="0"/>
        <w:autoSpaceDN w:val="0"/>
        <w:adjustRightInd w:val="0"/>
        <w:snapToGrid w:val="0"/>
        <w:spacing w:line="360" w:lineRule="auto"/>
        <w:jc w:val="left"/>
        <w:rPr>
          <w:rFonts w:ascii="宋体" w:hAnsi="宋体"/>
          <w:snapToGrid w:val="0"/>
          <w:color w:val="auto"/>
          <w:kern w:val="0"/>
          <w:sz w:val="24"/>
          <w:highlight w:val="none"/>
        </w:rPr>
      </w:pPr>
    </w:p>
    <w:p w14:paraId="5350443E">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5698D11F">
      <w:pPr>
        <w:autoSpaceDE w:val="0"/>
        <w:autoSpaceDN w:val="0"/>
        <w:adjustRightInd w:val="0"/>
        <w:snapToGrid w:val="0"/>
        <w:spacing w:line="360" w:lineRule="auto"/>
        <w:jc w:val="left"/>
        <w:rPr>
          <w:rFonts w:ascii="宋体" w:hAnsi="宋体"/>
          <w:snapToGrid w:val="0"/>
          <w:color w:val="auto"/>
          <w:kern w:val="0"/>
          <w:szCs w:val="21"/>
          <w:highlight w:val="none"/>
        </w:rPr>
      </w:pPr>
    </w:p>
    <w:p w14:paraId="145B2BA0">
      <w:pPr>
        <w:autoSpaceDE w:val="0"/>
        <w:autoSpaceDN w:val="0"/>
        <w:adjustRightInd w:val="0"/>
        <w:snapToGrid w:val="0"/>
        <w:spacing w:line="360" w:lineRule="auto"/>
        <w:jc w:val="left"/>
        <w:rPr>
          <w:rFonts w:ascii="宋体" w:hAnsi="宋体"/>
          <w:snapToGrid w:val="0"/>
          <w:color w:val="auto"/>
          <w:kern w:val="0"/>
          <w:szCs w:val="21"/>
          <w:highlight w:val="none"/>
        </w:rPr>
      </w:pPr>
    </w:p>
    <w:p w14:paraId="73605133">
      <w:pPr>
        <w:autoSpaceDE w:val="0"/>
        <w:autoSpaceDN w:val="0"/>
        <w:adjustRightInd w:val="0"/>
        <w:snapToGrid w:val="0"/>
        <w:spacing w:line="360" w:lineRule="auto"/>
        <w:jc w:val="left"/>
        <w:rPr>
          <w:rFonts w:ascii="宋体" w:hAnsi="宋体"/>
          <w:snapToGrid w:val="0"/>
          <w:color w:val="auto"/>
          <w:kern w:val="0"/>
          <w:szCs w:val="21"/>
          <w:highlight w:val="none"/>
        </w:rPr>
      </w:pPr>
    </w:p>
    <w:p w14:paraId="45C9BC56">
      <w:pPr>
        <w:autoSpaceDE w:val="0"/>
        <w:autoSpaceDN w:val="0"/>
        <w:adjustRightInd w:val="0"/>
        <w:snapToGrid w:val="0"/>
        <w:spacing w:line="360" w:lineRule="auto"/>
        <w:jc w:val="left"/>
        <w:rPr>
          <w:rFonts w:ascii="宋体" w:hAnsi="宋体"/>
          <w:snapToGrid w:val="0"/>
          <w:color w:val="auto"/>
          <w:kern w:val="0"/>
          <w:szCs w:val="21"/>
          <w:highlight w:val="none"/>
        </w:rPr>
      </w:pPr>
    </w:p>
    <w:p w14:paraId="255767C1">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7CAEEAE6">
      <w:pPr>
        <w:autoSpaceDE w:val="0"/>
        <w:autoSpaceDN w:val="0"/>
        <w:adjustRightInd w:val="0"/>
        <w:snapToGrid w:val="0"/>
        <w:spacing w:line="360" w:lineRule="auto"/>
        <w:jc w:val="left"/>
        <w:rPr>
          <w:rFonts w:ascii="宋体" w:hAnsi="宋体"/>
          <w:snapToGrid w:val="0"/>
          <w:color w:val="auto"/>
          <w:kern w:val="0"/>
          <w:szCs w:val="21"/>
          <w:highlight w:val="none"/>
        </w:rPr>
      </w:pPr>
    </w:p>
    <w:p w14:paraId="649EC132">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1003552C">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00D09527">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2ECA9275">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7188F24D">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14:paraId="0B5A438C">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0F53B7A">
      <w:pPr>
        <w:autoSpaceDE w:val="0"/>
        <w:autoSpaceDN w:val="0"/>
        <w:adjustRightInd w:val="0"/>
        <w:snapToGrid w:val="0"/>
        <w:spacing w:line="360" w:lineRule="auto"/>
        <w:jc w:val="left"/>
        <w:rPr>
          <w:rFonts w:ascii="宋体" w:hAnsi="宋体"/>
          <w:snapToGrid w:val="0"/>
          <w:color w:val="auto"/>
          <w:kern w:val="0"/>
          <w:sz w:val="28"/>
          <w:szCs w:val="28"/>
          <w:highlight w:val="none"/>
        </w:rPr>
      </w:pPr>
    </w:p>
    <w:p w14:paraId="7FCE0428">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r>
        <w:rPr>
          <w:rFonts w:ascii="宋体" w:hAnsi="宋体"/>
          <w:snapToGrid w:val="0"/>
          <w:color w:val="auto"/>
          <w:kern w:val="0"/>
          <w:sz w:val="24"/>
          <w:highlight w:val="none"/>
        </w:rPr>
        <w:t xml:space="preserve"> </w:t>
      </w:r>
    </w:p>
    <w:p w14:paraId="56C0D1FB">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1CE8CBC5">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206B24C9">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：问题的澄清</w:t>
      </w:r>
    </w:p>
    <w:p w14:paraId="7DA46F37">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5C426C27">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3EC955D9">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648F2A3E">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437D2802">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5E7D6676">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66610D31">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评标委员会：</w:t>
      </w:r>
    </w:p>
    <w:p w14:paraId="23201A15">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3C5FE1A2">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626F20B4">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774D05CB">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5F52F0B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4768B563">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088004C8">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458A22ED">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0BAABFF4">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4C2CBB3B">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70274D39">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308661E0">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835E699">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CBA15C9">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68F75FC">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24D69A48">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0F9FD4FC">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7EFF137B">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33453712">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5C4ABD3">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EEE83D3">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ECD8479">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比选申请人：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5DDAC90F">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38C92B86">
      <w:pPr>
        <w:autoSpaceDE w:val="0"/>
        <w:autoSpaceDN w:val="0"/>
        <w:adjustRightInd w:val="0"/>
        <w:snapToGrid w:val="0"/>
        <w:spacing w:line="360" w:lineRule="auto"/>
        <w:jc w:val="right"/>
        <w:rPr>
          <w:rFonts w:ascii="宋体" w:hAnsi="宋体"/>
          <w:snapToGrid w:val="0"/>
          <w:color w:val="auto"/>
          <w:kern w:val="0"/>
          <w:sz w:val="20"/>
          <w:szCs w:val="20"/>
          <w:highlight w:val="none"/>
        </w:rPr>
      </w:pPr>
    </w:p>
    <w:p w14:paraId="1A4086C1">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6B8CA49B">
      <w:pPr>
        <w:autoSpaceDE w:val="0"/>
        <w:autoSpaceDN w:val="0"/>
        <w:adjustRightInd w:val="0"/>
        <w:snapToGrid w:val="0"/>
        <w:spacing w:line="360" w:lineRule="auto"/>
        <w:jc w:val="left"/>
        <w:rPr>
          <w:rFonts w:ascii="宋体" w:hAnsi="宋体"/>
          <w:b/>
          <w:snapToGrid w:val="0"/>
          <w:color w:val="auto"/>
          <w:kern w:val="0"/>
          <w:sz w:val="24"/>
          <w:highlight w:val="none"/>
        </w:rPr>
      </w:pPr>
    </w:p>
    <w:p w14:paraId="43F5AC2C">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五</w:t>
      </w:r>
      <w:r>
        <w:rPr>
          <w:rFonts w:ascii="宋体" w:hAnsi="宋体"/>
          <w:b/>
          <w:snapToGrid w:val="0"/>
          <w:color w:val="auto"/>
          <w:kern w:val="0"/>
          <w:highlight w:val="none"/>
        </w:rPr>
        <w:t>：中</w:t>
      </w:r>
      <w:r>
        <w:rPr>
          <w:rFonts w:hint="eastAsia" w:ascii="宋体" w:hAnsi="宋体"/>
          <w:b/>
          <w:snapToGrid w:val="0"/>
          <w:color w:val="auto"/>
          <w:kern w:val="0"/>
          <w:highlight w:val="none"/>
        </w:rPr>
        <w:t>选</w:t>
      </w:r>
      <w:r>
        <w:rPr>
          <w:rFonts w:ascii="宋体" w:hAnsi="宋体"/>
          <w:b/>
          <w:snapToGrid w:val="0"/>
          <w:color w:val="auto"/>
          <w:kern w:val="0"/>
          <w:highlight w:val="none"/>
        </w:rPr>
        <w:t>通知书</w:t>
      </w:r>
    </w:p>
    <w:p w14:paraId="30028BAE">
      <w:pPr>
        <w:autoSpaceDE w:val="0"/>
        <w:autoSpaceDN w:val="0"/>
        <w:adjustRightInd w:val="0"/>
        <w:spacing w:line="360" w:lineRule="auto"/>
        <w:jc w:val="left"/>
        <w:rPr>
          <w:rFonts w:ascii="宋体" w:hAnsi="宋体"/>
          <w:snapToGrid w:val="0"/>
          <w:color w:val="auto"/>
          <w:kern w:val="0"/>
          <w:sz w:val="20"/>
          <w:szCs w:val="20"/>
          <w:highlight w:val="none"/>
        </w:rPr>
      </w:pPr>
    </w:p>
    <w:p w14:paraId="6966B8EF">
      <w:pPr>
        <w:autoSpaceDE w:val="0"/>
        <w:autoSpaceDN w:val="0"/>
        <w:adjustRightInd w:val="0"/>
        <w:spacing w:line="360" w:lineRule="auto"/>
        <w:jc w:val="left"/>
        <w:rPr>
          <w:rFonts w:ascii="宋体" w:hAnsi="宋体"/>
          <w:snapToGrid w:val="0"/>
          <w:color w:val="auto"/>
          <w:kern w:val="0"/>
          <w:sz w:val="20"/>
          <w:szCs w:val="20"/>
          <w:highlight w:val="none"/>
        </w:rPr>
      </w:pPr>
    </w:p>
    <w:p w14:paraId="0AA63F96">
      <w:pPr>
        <w:autoSpaceDE w:val="0"/>
        <w:autoSpaceDN w:val="0"/>
        <w:adjustRightInd w:val="0"/>
        <w:spacing w:line="360" w:lineRule="auto"/>
        <w:jc w:val="left"/>
        <w:rPr>
          <w:rFonts w:ascii="宋体" w:hAnsi="宋体"/>
          <w:snapToGrid w:val="0"/>
          <w:color w:val="auto"/>
          <w:kern w:val="0"/>
          <w:sz w:val="20"/>
          <w:szCs w:val="20"/>
          <w:highlight w:val="none"/>
        </w:rPr>
      </w:pPr>
    </w:p>
    <w:p w14:paraId="7BDBCD00">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重庆市建设工程中选通知书</w:t>
      </w:r>
    </w:p>
    <w:p w14:paraId="664AF6FE">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w:t>
      </w:r>
      <w:r>
        <w:rPr>
          <w:rFonts w:hint="eastAsia" w:ascii="宋体" w:hAnsi="宋体"/>
          <w:color w:val="auto"/>
          <w:kern w:val="0"/>
          <w:szCs w:val="21"/>
          <w:highlight w:val="none"/>
          <w:u w:val="single"/>
        </w:rPr>
        <w:t>选</w:t>
      </w:r>
      <w:r>
        <w:rPr>
          <w:rFonts w:ascii="宋体" w:hAnsi="宋体"/>
          <w:color w:val="auto"/>
          <w:kern w:val="0"/>
          <w:szCs w:val="21"/>
          <w:highlight w:val="none"/>
          <w:u w:val="single"/>
        </w:rPr>
        <w:t>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14:paraId="4F0C0023">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w:t>
      </w:r>
      <w:r>
        <w:rPr>
          <w:rFonts w:hint="eastAsia" w:ascii="宋体" w:hAnsi="宋体"/>
          <w:color w:val="auto"/>
          <w:kern w:val="0"/>
          <w:szCs w:val="21"/>
          <w:highlight w:val="none"/>
        </w:rPr>
        <w:t>选</w:t>
      </w:r>
      <w:r>
        <w:rPr>
          <w:rFonts w:ascii="宋体" w:hAnsi="宋体"/>
          <w:color w:val="auto"/>
          <w:kern w:val="0"/>
          <w:szCs w:val="21"/>
          <w:highlight w:val="none"/>
        </w:rPr>
        <w:t>人，中</w:t>
      </w:r>
      <w:r>
        <w:rPr>
          <w:rFonts w:hint="eastAsia" w:ascii="宋体" w:hAnsi="宋体"/>
          <w:color w:val="auto"/>
          <w:kern w:val="0"/>
          <w:szCs w:val="21"/>
          <w:highlight w:val="none"/>
        </w:rPr>
        <w:t>选</w:t>
      </w:r>
      <w:r>
        <w:rPr>
          <w:rFonts w:ascii="宋体" w:hAnsi="宋体"/>
          <w:color w:val="auto"/>
          <w:kern w:val="0"/>
          <w:szCs w:val="21"/>
          <w:highlight w:val="none"/>
        </w:rPr>
        <w:t>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ascii="宋体" w:hAnsi="宋体"/>
          <w:color w:val="auto"/>
          <w:kern w:val="0"/>
          <w:szCs w:val="21"/>
          <w:highlight w:val="none"/>
        </w:rPr>
        <w:t>。中</w:t>
      </w:r>
      <w:r>
        <w:rPr>
          <w:rFonts w:hint="eastAsia" w:ascii="宋体" w:hAnsi="宋体"/>
          <w:color w:val="auto"/>
          <w:kern w:val="0"/>
          <w:szCs w:val="21"/>
          <w:highlight w:val="none"/>
        </w:rPr>
        <w:t>选</w:t>
      </w:r>
      <w:r>
        <w:rPr>
          <w:rFonts w:ascii="宋体" w:hAnsi="宋体"/>
          <w:color w:val="auto"/>
          <w:kern w:val="0"/>
          <w:szCs w:val="21"/>
          <w:highlight w:val="none"/>
        </w:rPr>
        <w:t>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，中</w:t>
      </w:r>
      <w:r>
        <w:rPr>
          <w:rFonts w:hint="eastAsia" w:ascii="宋体" w:hAnsi="宋体"/>
          <w:color w:val="auto"/>
          <w:kern w:val="0"/>
          <w:szCs w:val="21"/>
          <w:highlight w:val="none"/>
        </w:rPr>
        <w:t>选</w:t>
      </w:r>
      <w:r>
        <w:rPr>
          <w:rFonts w:ascii="宋体" w:hAnsi="宋体"/>
          <w:color w:val="auto"/>
          <w:kern w:val="0"/>
          <w:szCs w:val="21"/>
          <w:highlight w:val="none"/>
        </w:rPr>
        <w:t xml:space="preserve">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14:paraId="7D297BEE">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你单位收到中</w:t>
      </w:r>
      <w:r>
        <w:rPr>
          <w:rFonts w:hint="eastAsia" w:ascii="宋体" w:hAnsi="宋体"/>
          <w:color w:val="auto"/>
          <w:kern w:val="0"/>
          <w:szCs w:val="21"/>
          <w:highlight w:val="none"/>
        </w:rPr>
        <w:t>选</w:t>
      </w:r>
      <w:r>
        <w:rPr>
          <w:rFonts w:ascii="宋体" w:hAnsi="宋体"/>
          <w:color w:val="auto"/>
          <w:kern w:val="0"/>
          <w:szCs w:val="21"/>
          <w:highlight w:val="none"/>
        </w:rPr>
        <w:t xml:space="preserve">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rFonts w:hint="eastAsia" w:ascii="宋体" w:hAnsi="宋体"/>
          <w:color w:val="auto"/>
          <w:kern w:val="0"/>
          <w:szCs w:val="21"/>
          <w:highlight w:val="none"/>
        </w:rPr>
        <w:t>在此之前按比选文件第二章“比选申请人须知”第7.3款规定向我方提交履约担保。</w:t>
      </w:r>
    </w:p>
    <w:p w14:paraId="514BA1C9">
      <w:pPr>
        <w:spacing w:line="360" w:lineRule="auto"/>
        <w:rPr>
          <w:rFonts w:ascii="宋体" w:hAnsi="宋体"/>
          <w:color w:val="auto"/>
          <w:kern w:val="0"/>
          <w:szCs w:val="21"/>
          <w:highlight w:val="none"/>
        </w:rPr>
      </w:pPr>
      <w:r>
        <w:rPr>
          <w:rFonts w:ascii="宋体" w:hAnsi="宋体"/>
          <w:color w:val="auto"/>
          <w:kern w:val="0"/>
          <w:szCs w:val="21"/>
          <w:highlight w:val="none"/>
        </w:rPr>
        <w:t xml:space="preserve">    特此通知。</w:t>
      </w:r>
    </w:p>
    <w:p w14:paraId="1C5687DE">
      <w:pPr>
        <w:spacing w:line="480" w:lineRule="auto"/>
        <w:rPr>
          <w:rFonts w:ascii="宋体" w:hAnsi="宋体"/>
          <w:color w:val="auto"/>
          <w:kern w:val="0"/>
          <w:sz w:val="24"/>
          <w:highlight w:val="none"/>
        </w:rPr>
      </w:pPr>
    </w:p>
    <w:p w14:paraId="47ED4C72">
      <w:pPr>
        <w:spacing w:line="480" w:lineRule="auto"/>
        <w:rPr>
          <w:rFonts w:ascii="宋体" w:hAnsi="宋体"/>
          <w:color w:val="auto"/>
          <w:kern w:val="0"/>
          <w:sz w:val="24"/>
          <w:highlight w:val="none"/>
        </w:rPr>
      </w:pPr>
    </w:p>
    <w:p w14:paraId="4819ACBD">
      <w:pPr>
        <w:spacing w:line="480" w:lineRule="auto"/>
        <w:rPr>
          <w:rFonts w:ascii="宋体" w:hAnsi="宋体"/>
          <w:color w:val="auto"/>
          <w:kern w:val="0"/>
          <w:sz w:val="24"/>
          <w:highlight w:val="none"/>
        </w:rPr>
      </w:pPr>
    </w:p>
    <w:p w14:paraId="5D7566CB">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比选人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w:t>
      </w:r>
      <w:r>
        <w:rPr>
          <w:rFonts w:ascii="宋体" w:hAnsi="宋体"/>
          <w:snapToGrid w:val="0"/>
          <w:color w:val="auto"/>
          <w:kern w:val="0"/>
          <w:szCs w:val="21"/>
          <w:highlight w:val="none"/>
        </w:rPr>
        <w:t>盖单位法人章</w:t>
      </w:r>
      <w:r>
        <w:rPr>
          <w:rFonts w:ascii="宋体" w:hAnsi="宋体"/>
          <w:color w:val="auto"/>
          <w:kern w:val="0"/>
          <w:sz w:val="24"/>
          <w:highlight w:val="none"/>
        </w:rPr>
        <w:t>）</w:t>
      </w:r>
    </w:p>
    <w:p w14:paraId="0127DE76">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法定代表人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w:t>
      </w:r>
      <w:r>
        <w:rPr>
          <w:rFonts w:hint="eastAsia" w:ascii="宋体" w:hAnsi="宋体"/>
          <w:color w:val="auto"/>
          <w:kern w:val="0"/>
          <w:sz w:val="24"/>
          <w:highlight w:val="none"/>
        </w:rPr>
        <w:t>签名</w:t>
      </w:r>
      <w:r>
        <w:rPr>
          <w:rFonts w:ascii="宋体" w:hAnsi="宋体"/>
          <w:color w:val="auto"/>
          <w:kern w:val="0"/>
          <w:sz w:val="24"/>
          <w:highlight w:val="none"/>
        </w:rPr>
        <w:t>或盖章）</w:t>
      </w:r>
    </w:p>
    <w:p w14:paraId="23B37CE0">
      <w:pPr>
        <w:spacing w:line="480" w:lineRule="auto"/>
        <w:jc w:val="left"/>
        <w:rPr>
          <w:rFonts w:ascii="宋体" w:hAnsi="宋体"/>
          <w:color w:val="auto"/>
          <w:kern w:val="0"/>
          <w:sz w:val="24"/>
          <w:highlight w:val="none"/>
          <w:u w:val="single"/>
        </w:rPr>
      </w:pPr>
      <w:r>
        <w:rPr>
          <w:rFonts w:ascii="宋体" w:hAnsi="宋体"/>
          <w:color w:val="auto"/>
          <w:kern w:val="0"/>
          <w:sz w:val="24"/>
          <w:highlight w:val="none"/>
        </w:rPr>
        <w:t xml:space="preserve">                                 联系人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14:paraId="45159134">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联系电话</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14:paraId="028631D6">
      <w:pPr>
        <w:spacing w:line="480" w:lineRule="auto"/>
        <w:jc w:val="right"/>
        <w:rPr>
          <w:rFonts w:ascii="宋体" w:hAnsi="宋体"/>
          <w:color w:val="auto"/>
          <w:kern w:val="0"/>
          <w:sz w:val="24"/>
          <w:highlight w:val="none"/>
        </w:rPr>
      </w:pPr>
    </w:p>
    <w:p w14:paraId="3CDC5ED6">
      <w:pPr>
        <w:spacing w:line="480" w:lineRule="auto"/>
        <w:jc w:val="right"/>
        <w:rPr>
          <w:rFonts w:ascii="宋体" w:hAnsi="宋体"/>
          <w:color w:val="auto"/>
          <w:kern w:val="0"/>
          <w:sz w:val="24"/>
          <w:highlight w:val="none"/>
        </w:rPr>
      </w:pPr>
    </w:p>
    <w:p w14:paraId="54EB7129">
      <w:pPr>
        <w:spacing w:line="480" w:lineRule="auto"/>
        <w:jc w:val="right"/>
        <w:rPr>
          <w:rFonts w:ascii="宋体" w:hAnsi="宋体"/>
          <w:color w:val="auto"/>
          <w:kern w:val="0"/>
          <w:sz w:val="24"/>
          <w:highlight w:val="none"/>
        </w:rPr>
      </w:pPr>
      <w:r>
        <w:rPr>
          <w:rFonts w:ascii="宋体" w:hAnsi="宋体"/>
          <w:color w:val="auto"/>
          <w:kern w:val="0"/>
          <w:sz w:val="24"/>
          <w:highlight w:val="none"/>
        </w:rPr>
        <w:t xml:space="preserve">                   签发日期</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年</w:t>
      </w:r>
      <w:r>
        <w:rPr>
          <w:rFonts w:ascii="宋体" w:hAnsi="宋体"/>
          <w:color w:val="auto"/>
          <w:kern w:val="0"/>
          <w:sz w:val="24"/>
          <w:highlight w:val="none"/>
          <w:u w:val="single"/>
        </w:rPr>
        <w:t xml:space="preserve">     </w:t>
      </w:r>
      <w:r>
        <w:rPr>
          <w:rFonts w:ascii="宋体" w:hAnsi="宋体"/>
          <w:color w:val="auto"/>
          <w:kern w:val="0"/>
          <w:sz w:val="24"/>
          <w:highlight w:val="none"/>
        </w:rPr>
        <w:t>月</w:t>
      </w:r>
      <w:r>
        <w:rPr>
          <w:rFonts w:ascii="宋体" w:hAnsi="宋体"/>
          <w:color w:val="auto"/>
          <w:kern w:val="0"/>
          <w:sz w:val="24"/>
          <w:highlight w:val="none"/>
          <w:u w:val="single"/>
        </w:rPr>
        <w:t xml:space="preserve">     </w:t>
      </w:r>
      <w:r>
        <w:rPr>
          <w:rFonts w:ascii="宋体" w:hAnsi="宋体"/>
          <w:color w:val="auto"/>
          <w:kern w:val="0"/>
          <w:sz w:val="24"/>
          <w:highlight w:val="none"/>
        </w:rPr>
        <w:t>日</w:t>
      </w:r>
    </w:p>
    <w:p w14:paraId="1AD740FD">
      <w:pPr>
        <w:pStyle w:val="3"/>
        <w:jc w:val="center"/>
        <w:rPr>
          <w:rFonts w:eastAsia="黑体"/>
          <w:color w:val="auto"/>
          <w:highlight w:val="none"/>
        </w:rPr>
      </w:pPr>
      <w:r>
        <w:rPr>
          <w:rFonts w:ascii="宋体" w:hAnsi="宋体"/>
          <w:color w:val="auto"/>
          <w:kern w:val="0"/>
          <w:sz w:val="24"/>
          <w:highlight w:val="none"/>
        </w:rPr>
        <w:br w:type="page"/>
      </w:r>
      <w:bookmarkStart w:id="667" w:name="_Toc460422099"/>
      <w:bookmarkStart w:id="668" w:name="_Toc22212"/>
      <w:bookmarkStart w:id="669" w:name="_Toc505783749"/>
      <w:bookmarkStart w:id="670" w:name="_Toc2569"/>
      <w:bookmarkStart w:id="671" w:name="_Toc354501687"/>
      <w:bookmarkStart w:id="672" w:name="_Toc19252"/>
      <w:bookmarkStart w:id="673" w:name="_Toc287607801"/>
      <w:bookmarkStart w:id="674" w:name="_Toc277082608"/>
      <w:bookmarkStart w:id="675" w:name="_Toc224103373"/>
      <w:bookmarkStart w:id="676" w:name="_Toc287620740"/>
      <w:r>
        <w:rPr>
          <w:rFonts w:hint="eastAsia"/>
          <w:color w:val="auto"/>
          <w:highlight w:val="none"/>
        </w:rPr>
        <w:t>第三章评标办法</w:t>
      </w:r>
      <w:r>
        <w:rPr>
          <w:color w:val="auto"/>
          <w:highlight w:val="none"/>
        </w:rPr>
        <w:t>(</w:t>
      </w:r>
      <w:r>
        <w:rPr>
          <w:rFonts w:hint="eastAsia"/>
          <w:color w:val="auto"/>
          <w:highlight w:val="none"/>
        </w:rPr>
        <w:t>综合评估法</w:t>
      </w:r>
      <w:r>
        <w:rPr>
          <w:color w:val="auto"/>
          <w:highlight w:val="none"/>
        </w:rPr>
        <w:t>)</w:t>
      </w:r>
      <w:bookmarkEnd w:id="667"/>
      <w:bookmarkEnd w:id="668"/>
      <w:bookmarkEnd w:id="669"/>
      <w:bookmarkEnd w:id="670"/>
      <w:bookmarkEnd w:id="671"/>
      <w:bookmarkEnd w:id="672"/>
    </w:p>
    <w:p w14:paraId="1AFF5EFD">
      <w:pPr>
        <w:pStyle w:val="4"/>
        <w:rPr>
          <w:rFonts w:ascii="宋体" w:hAnsi="宋体"/>
          <w:color w:val="auto"/>
          <w:highlight w:val="none"/>
        </w:rPr>
      </w:pPr>
      <w:bookmarkStart w:id="677" w:name="_Toc224103383"/>
      <w:bookmarkStart w:id="678" w:name="_Toc287607811"/>
      <w:bookmarkStart w:id="679" w:name="_Toc505783750"/>
      <w:bookmarkStart w:id="680" w:name="_Toc14504"/>
      <w:bookmarkStart w:id="681" w:name="_Toc16000433"/>
      <w:bookmarkStart w:id="682" w:name="_Toc85"/>
      <w:bookmarkStart w:id="683" w:name="_Toc6843"/>
      <w:bookmarkStart w:id="684" w:name="_Toc354501688"/>
      <w:bookmarkStart w:id="685" w:name="_Toc277082617"/>
      <w:bookmarkStart w:id="686" w:name="_Toc460422100"/>
      <w:r>
        <w:rPr>
          <w:rFonts w:hint="eastAsia" w:ascii="宋体" w:hAnsi="宋体"/>
          <w:color w:val="auto"/>
          <w:highlight w:val="none"/>
        </w:rPr>
        <w:t>评标办法前附表</w:t>
      </w:r>
      <w:bookmarkEnd w:id="677"/>
      <w:bookmarkEnd w:id="678"/>
      <w:bookmarkEnd w:id="679"/>
      <w:bookmarkEnd w:id="680"/>
      <w:bookmarkEnd w:id="681"/>
      <w:bookmarkEnd w:id="682"/>
      <w:bookmarkEnd w:id="683"/>
      <w:bookmarkEnd w:id="684"/>
      <w:bookmarkEnd w:id="685"/>
      <w:bookmarkEnd w:id="686"/>
    </w:p>
    <w:tbl>
      <w:tblPr>
        <w:tblStyle w:val="46"/>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01"/>
        <w:gridCol w:w="924"/>
        <w:gridCol w:w="1545"/>
        <w:gridCol w:w="5385"/>
      </w:tblGrid>
      <w:tr w14:paraId="1642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829" w:type="dxa"/>
            <w:gridSpan w:val="2"/>
            <w:tcBorders>
              <w:top w:val="single" w:color="auto" w:sz="4" w:space="0"/>
              <w:left w:val="single" w:color="auto" w:sz="4" w:space="0"/>
              <w:bottom w:val="single" w:color="auto" w:sz="4" w:space="0"/>
              <w:right w:val="single" w:color="auto" w:sz="4" w:space="0"/>
            </w:tcBorders>
            <w:vAlign w:val="center"/>
          </w:tcPr>
          <w:p w14:paraId="7488FCA7">
            <w:pPr>
              <w:spacing w:line="460" w:lineRule="exact"/>
              <w:jc w:val="center"/>
              <w:rPr>
                <w:rFonts w:ascii="宋体" w:hAnsi="宋体" w:cs="宋体"/>
                <w:b/>
                <w:color w:val="auto"/>
                <w:kern w:val="0"/>
                <w:highlight w:val="none"/>
              </w:rPr>
            </w:pPr>
            <w:r>
              <w:rPr>
                <w:rFonts w:hint="eastAsia" w:ascii="宋体" w:hAnsi="宋体" w:cs="宋体"/>
                <w:b/>
                <w:color w:val="auto"/>
                <w:kern w:val="0"/>
                <w:highlight w:val="none"/>
              </w:rPr>
              <w:t>条款号</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134D352">
            <w:pPr>
              <w:spacing w:line="460" w:lineRule="exact"/>
              <w:jc w:val="center"/>
              <w:rPr>
                <w:rFonts w:ascii="宋体" w:hAnsi="宋体" w:cs="宋体"/>
                <w:b/>
                <w:color w:val="auto"/>
                <w:kern w:val="0"/>
                <w:highlight w:val="none"/>
              </w:rPr>
            </w:pPr>
            <w:r>
              <w:rPr>
                <w:rFonts w:hint="eastAsia" w:ascii="宋体" w:hAnsi="宋体" w:cs="宋体"/>
                <w:b/>
                <w:color w:val="auto"/>
                <w:kern w:val="0"/>
                <w:highlight w:val="none"/>
              </w:rPr>
              <w:t>评审因素</w:t>
            </w:r>
          </w:p>
        </w:tc>
        <w:tc>
          <w:tcPr>
            <w:tcW w:w="5385" w:type="dxa"/>
            <w:tcBorders>
              <w:top w:val="single" w:color="auto" w:sz="4" w:space="0"/>
              <w:left w:val="single" w:color="auto" w:sz="4" w:space="0"/>
              <w:bottom w:val="single" w:color="auto" w:sz="4" w:space="0"/>
              <w:right w:val="single" w:color="auto" w:sz="4" w:space="0"/>
            </w:tcBorders>
            <w:vAlign w:val="center"/>
          </w:tcPr>
          <w:p w14:paraId="74AFCC9C">
            <w:pPr>
              <w:spacing w:line="460" w:lineRule="exact"/>
              <w:jc w:val="center"/>
              <w:rPr>
                <w:rFonts w:ascii="宋体" w:hAnsi="宋体" w:cs="宋体"/>
                <w:b/>
                <w:color w:val="auto"/>
                <w:kern w:val="0"/>
                <w:highlight w:val="none"/>
              </w:rPr>
            </w:pPr>
            <w:r>
              <w:rPr>
                <w:rFonts w:hint="eastAsia" w:ascii="宋体" w:hAnsi="宋体" w:cs="宋体"/>
                <w:b/>
                <w:color w:val="auto"/>
                <w:kern w:val="0"/>
                <w:highlight w:val="none"/>
              </w:rPr>
              <w:t>评审标准</w:t>
            </w:r>
          </w:p>
        </w:tc>
      </w:tr>
      <w:tr w14:paraId="50C4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7F40E6A6">
            <w:pPr>
              <w:spacing w:line="460" w:lineRule="exact"/>
              <w:jc w:val="center"/>
              <w:rPr>
                <w:rFonts w:ascii="宋体" w:hAnsi="宋体"/>
                <w:color w:val="auto"/>
                <w:kern w:val="0"/>
                <w:highlight w:val="none"/>
              </w:rPr>
            </w:pPr>
            <w:r>
              <w:rPr>
                <w:rFonts w:hint="eastAsia" w:ascii="宋体" w:hAnsi="宋体" w:cs="宋体"/>
                <w:color w:val="auto"/>
                <w:kern w:val="0"/>
                <w:highlight w:val="none"/>
              </w:rPr>
              <w:t>2.1.1</w:t>
            </w:r>
          </w:p>
        </w:tc>
        <w:tc>
          <w:tcPr>
            <w:tcW w:w="100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BB571A">
            <w:pPr>
              <w:spacing w:line="460" w:lineRule="exact"/>
              <w:jc w:val="center"/>
              <w:rPr>
                <w:rFonts w:ascii="宋体" w:hAnsi="宋体"/>
                <w:color w:val="auto"/>
                <w:kern w:val="0"/>
                <w:highlight w:val="none"/>
              </w:rPr>
            </w:pPr>
            <w:r>
              <w:rPr>
                <w:rFonts w:hint="eastAsia" w:ascii="宋体" w:hAnsi="宋体" w:cs="宋体"/>
                <w:color w:val="auto"/>
                <w:kern w:val="0"/>
                <w:highlight w:val="none"/>
              </w:rPr>
              <w:t>形式评审标准</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1E93D973">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比选申请人名称</w:t>
            </w:r>
          </w:p>
        </w:tc>
        <w:tc>
          <w:tcPr>
            <w:tcW w:w="5385" w:type="dxa"/>
            <w:tcBorders>
              <w:top w:val="single" w:color="auto" w:sz="4" w:space="0"/>
              <w:left w:val="single" w:color="auto" w:sz="4" w:space="0"/>
              <w:bottom w:val="single" w:color="auto" w:sz="4" w:space="0"/>
              <w:right w:val="single" w:color="auto" w:sz="4" w:space="0"/>
            </w:tcBorders>
            <w:vAlign w:val="center"/>
          </w:tcPr>
          <w:p w14:paraId="1EA2829C">
            <w:pPr>
              <w:spacing w:line="4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14:paraId="6F11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98F9236">
            <w:pPr>
              <w:widowControl/>
              <w:spacing w:line="460" w:lineRule="exact"/>
              <w:jc w:val="left"/>
              <w:rPr>
                <w:rFonts w:ascii="宋体" w:hAnsi="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6C64CA69">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2A92A548">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比选申请函签名盖章</w:t>
            </w:r>
          </w:p>
        </w:tc>
        <w:tc>
          <w:tcPr>
            <w:tcW w:w="5385" w:type="dxa"/>
            <w:tcBorders>
              <w:top w:val="single" w:color="auto" w:sz="4" w:space="0"/>
              <w:left w:val="single" w:color="auto" w:sz="4" w:space="0"/>
              <w:bottom w:val="single" w:color="auto" w:sz="4" w:space="0"/>
              <w:right w:val="single" w:color="auto" w:sz="4" w:space="0"/>
            </w:tcBorders>
            <w:vAlign w:val="center"/>
          </w:tcPr>
          <w:p w14:paraId="7EC8C0C4">
            <w:pPr>
              <w:spacing w:line="4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有法定代表人或其委托代理人签名、加盖单位法人章</w:t>
            </w:r>
          </w:p>
        </w:tc>
      </w:tr>
      <w:tr w14:paraId="678A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91A4AF9">
            <w:pPr>
              <w:widowControl/>
              <w:spacing w:line="460" w:lineRule="exact"/>
              <w:jc w:val="left"/>
              <w:rPr>
                <w:rFonts w:ascii="宋体" w:hAnsi="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697EAF9B">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0B89B38">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比选申请文件格式</w:t>
            </w:r>
          </w:p>
        </w:tc>
        <w:tc>
          <w:tcPr>
            <w:tcW w:w="5385" w:type="dxa"/>
            <w:tcBorders>
              <w:top w:val="single" w:color="auto" w:sz="4" w:space="0"/>
              <w:left w:val="single" w:color="auto" w:sz="4" w:space="0"/>
              <w:bottom w:val="single" w:color="auto" w:sz="4" w:space="0"/>
              <w:right w:val="single" w:color="auto" w:sz="4" w:space="0"/>
            </w:tcBorders>
            <w:vAlign w:val="center"/>
          </w:tcPr>
          <w:p w14:paraId="361F844B">
            <w:pPr>
              <w:spacing w:line="4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符合第八章“比选申请文件格式”的要求，字迹清晰可辨。</w:t>
            </w:r>
          </w:p>
          <w:p w14:paraId="504EB962">
            <w:pPr>
              <w:spacing w:line="46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1.比选申请函的所有数据均符合比选文件的规定；</w:t>
            </w:r>
          </w:p>
          <w:p w14:paraId="1984604C">
            <w:pPr>
              <w:spacing w:line="46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2.比选申请文件附表齐全完整，内容均按规定填写；</w:t>
            </w:r>
          </w:p>
          <w:p w14:paraId="4D1CBA61">
            <w:pPr>
              <w:spacing w:line="46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3.按规定提供了拟投入的主要人员的证件复印件，证件清晰可辨、有效；</w:t>
            </w:r>
            <w:r>
              <w:rPr>
                <w:rFonts w:ascii="宋体" w:hAnsi="宋体" w:cs="宋体"/>
                <w:color w:val="auto"/>
                <w:kern w:val="0"/>
                <w:highlight w:val="none"/>
              </w:rPr>
              <w:t xml:space="preserve"> </w:t>
            </w:r>
          </w:p>
          <w:p w14:paraId="668C97CA">
            <w:pPr>
              <w:spacing w:line="46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4.比选申请文件的编制符合第二章3.7款的规定。</w:t>
            </w:r>
          </w:p>
        </w:tc>
      </w:tr>
      <w:tr w14:paraId="2290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2CB0AF3">
            <w:pPr>
              <w:widowControl/>
              <w:spacing w:line="460" w:lineRule="exact"/>
              <w:jc w:val="left"/>
              <w:rPr>
                <w:rFonts w:ascii="宋体" w:hAnsi="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066A9E26">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45C14E3">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报价唯一</w:t>
            </w:r>
          </w:p>
        </w:tc>
        <w:tc>
          <w:tcPr>
            <w:tcW w:w="5385" w:type="dxa"/>
            <w:tcBorders>
              <w:top w:val="single" w:color="auto" w:sz="4" w:space="0"/>
              <w:left w:val="single" w:color="auto" w:sz="4" w:space="0"/>
              <w:bottom w:val="single" w:color="auto" w:sz="4" w:space="0"/>
              <w:right w:val="single" w:color="auto" w:sz="4" w:space="0"/>
            </w:tcBorders>
            <w:vAlign w:val="center"/>
          </w:tcPr>
          <w:p w14:paraId="044C597E">
            <w:pPr>
              <w:spacing w:line="4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只能有一个有效报价，在比选文件没有规定的情况下，不得提交选择性报价。</w:t>
            </w:r>
          </w:p>
        </w:tc>
      </w:tr>
      <w:tr w14:paraId="4579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79E3797">
            <w:pPr>
              <w:widowControl/>
              <w:spacing w:line="460" w:lineRule="exact"/>
              <w:jc w:val="left"/>
              <w:rPr>
                <w:rFonts w:ascii="宋体" w:hAnsi="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34A78F78">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34EE473">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比选申请文件的签署</w:t>
            </w:r>
          </w:p>
        </w:tc>
        <w:tc>
          <w:tcPr>
            <w:tcW w:w="5385" w:type="dxa"/>
            <w:tcBorders>
              <w:top w:val="single" w:color="auto" w:sz="4" w:space="0"/>
              <w:left w:val="single" w:color="auto" w:sz="4" w:space="0"/>
              <w:bottom w:val="single" w:color="auto" w:sz="4" w:space="0"/>
              <w:right w:val="single" w:color="auto" w:sz="4" w:space="0"/>
            </w:tcBorders>
            <w:vAlign w:val="center"/>
          </w:tcPr>
          <w:p w14:paraId="409E673F">
            <w:pPr>
              <w:spacing w:line="46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比选申请文件上法定代表人或其授权代理人的签名齐全。法定代表人</w:t>
            </w:r>
            <w:r>
              <w:rPr>
                <w:rFonts w:hint="eastAsia" w:ascii="宋体" w:hAnsi="宋体" w:cs="宋体"/>
                <w:color w:val="auto"/>
                <w:kern w:val="0"/>
                <w:highlight w:val="none"/>
                <w:lang w:eastAsia="zh-CN"/>
              </w:rPr>
              <w:t>签名必须为亲笔签名。</w:t>
            </w:r>
          </w:p>
        </w:tc>
      </w:tr>
      <w:tr w14:paraId="2B4C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E4D6E06">
            <w:pPr>
              <w:widowControl/>
              <w:spacing w:line="460" w:lineRule="exact"/>
              <w:jc w:val="left"/>
              <w:rPr>
                <w:rFonts w:ascii="宋体" w:hAnsi="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5311AAAA">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75D87FD1">
            <w:pPr>
              <w:spacing w:line="460" w:lineRule="exact"/>
              <w:jc w:val="center"/>
              <w:rPr>
                <w:rFonts w:ascii="宋体" w:hAnsi="宋体" w:cs="宋体"/>
                <w:color w:val="auto"/>
                <w:kern w:val="0"/>
                <w:highlight w:val="none"/>
              </w:rPr>
            </w:pPr>
            <w:r>
              <w:rPr>
                <w:rFonts w:hint="eastAsia" w:ascii="宋体" w:hAnsi="宋体"/>
                <w:color w:val="auto"/>
                <w:kern w:val="0"/>
                <w:highlight w:val="none"/>
              </w:rPr>
              <w:t>委托代理人</w:t>
            </w:r>
          </w:p>
        </w:tc>
        <w:tc>
          <w:tcPr>
            <w:tcW w:w="5385" w:type="dxa"/>
            <w:tcBorders>
              <w:top w:val="single" w:color="auto" w:sz="4" w:space="0"/>
              <w:left w:val="single" w:color="auto" w:sz="4" w:space="0"/>
              <w:bottom w:val="single" w:color="auto" w:sz="4" w:space="0"/>
              <w:right w:val="single" w:color="auto" w:sz="4" w:space="0"/>
            </w:tcBorders>
            <w:vAlign w:val="center"/>
          </w:tcPr>
          <w:p w14:paraId="5529A2CE">
            <w:pPr>
              <w:spacing w:line="4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比选申请人法定代表人的委托代理人有法定代表人签署的授权委托书，且其授权委托书符合比选文件规定的格式。</w:t>
            </w:r>
          </w:p>
        </w:tc>
      </w:tr>
      <w:tr w14:paraId="3FD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740D9750">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2.1.2</w:t>
            </w:r>
          </w:p>
        </w:tc>
        <w:tc>
          <w:tcPr>
            <w:tcW w:w="100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488EEDE">
            <w:pPr>
              <w:spacing w:line="460" w:lineRule="exact"/>
              <w:jc w:val="center"/>
              <w:rPr>
                <w:rFonts w:ascii="宋体" w:hAnsi="宋体"/>
                <w:color w:val="auto"/>
                <w:kern w:val="0"/>
                <w:highlight w:val="none"/>
              </w:rPr>
            </w:pPr>
            <w:r>
              <w:rPr>
                <w:rFonts w:hint="eastAsia" w:ascii="宋体" w:hAnsi="宋体" w:cs="宋体"/>
                <w:color w:val="auto"/>
                <w:kern w:val="0"/>
                <w:highlight w:val="none"/>
              </w:rPr>
              <w:t>资格评审标准</w:t>
            </w:r>
          </w:p>
        </w:tc>
        <w:tc>
          <w:tcPr>
            <w:tcW w:w="2469" w:type="dxa"/>
            <w:gridSpan w:val="2"/>
            <w:tcBorders>
              <w:top w:val="single" w:color="auto" w:sz="4" w:space="0"/>
              <w:left w:val="single" w:color="auto" w:sz="4" w:space="0"/>
              <w:right w:val="single" w:color="auto" w:sz="4" w:space="0"/>
            </w:tcBorders>
            <w:vAlign w:val="center"/>
          </w:tcPr>
          <w:p w14:paraId="4C802D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olor w:val="auto"/>
                <w:kern w:val="0"/>
                <w:highlight w:val="none"/>
              </w:rPr>
            </w:pPr>
            <w:r>
              <w:rPr>
                <w:rFonts w:hint="eastAsia" w:ascii="宋体" w:hAnsi="宋体"/>
                <w:color w:val="auto"/>
                <w:kern w:val="0"/>
                <w:highlight w:val="none"/>
              </w:rPr>
              <w:t>营业执照</w:t>
            </w:r>
          </w:p>
        </w:tc>
        <w:tc>
          <w:tcPr>
            <w:tcW w:w="5385" w:type="dxa"/>
            <w:tcBorders>
              <w:top w:val="single" w:color="auto" w:sz="4" w:space="0"/>
              <w:left w:val="single" w:color="auto" w:sz="4" w:space="0"/>
              <w:bottom w:val="single" w:color="auto" w:sz="4" w:space="0"/>
              <w:right w:val="single" w:color="auto" w:sz="4" w:space="0"/>
            </w:tcBorders>
            <w:vAlign w:val="center"/>
          </w:tcPr>
          <w:p w14:paraId="29F9DC62">
            <w:pPr>
              <w:spacing w:line="460" w:lineRule="exact"/>
              <w:rPr>
                <w:rFonts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1DC1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828" w:type="dxa"/>
            <w:vMerge w:val="continue"/>
            <w:tcBorders>
              <w:left w:val="single" w:color="auto" w:sz="4" w:space="0"/>
              <w:right w:val="single" w:color="auto" w:sz="4" w:space="0"/>
            </w:tcBorders>
            <w:vAlign w:val="center"/>
          </w:tcPr>
          <w:p w14:paraId="7E8341EE">
            <w:pPr>
              <w:spacing w:line="460" w:lineRule="exact"/>
              <w:jc w:val="center"/>
              <w:rPr>
                <w:rFonts w:ascii="宋体" w:hAnsi="宋体" w:cs="宋体"/>
                <w:color w:val="auto"/>
                <w:kern w:val="0"/>
                <w:highlight w:val="none"/>
              </w:rPr>
            </w:pPr>
          </w:p>
        </w:tc>
        <w:tc>
          <w:tcPr>
            <w:tcW w:w="1001" w:type="dxa"/>
            <w:vMerge w:val="continue"/>
            <w:tcBorders>
              <w:left w:val="single" w:color="auto" w:sz="4" w:space="0"/>
              <w:right w:val="single" w:color="auto" w:sz="4" w:space="0"/>
            </w:tcBorders>
            <w:textDirection w:val="tbRlV"/>
            <w:vAlign w:val="center"/>
          </w:tcPr>
          <w:p w14:paraId="0D3C57E6">
            <w:pPr>
              <w:spacing w:line="460" w:lineRule="exact"/>
              <w:jc w:val="center"/>
              <w:rPr>
                <w:rFonts w:ascii="宋体" w:hAnsi="宋体" w:cs="宋体"/>
                <w:color w:val="auto"/>
                <w:kern w:val="0"/>
                <w:highlight w:val="none"/>
              </w:rPr>
            </w:pPr>
          </w:p>
        </w:tc>
        <w:tc>
          <w:tcPr>
            <w:tcW w:w="2469" w:type="dxa"/>
            <w:gridSpan w:val="2"/>
            <w:tcBorders>
              <w:left w:val="single" w:color="auto" w:sz="4" w:space="0"/>
              <w:right w:val="single" w:color="auto" w:sz="4" w:space="0"/>
            </w:tcBorders>
            <w:vAlign w:val="center"/>
          </w:tcPr>
          <w:p w14:paraId="5E9D5ABF">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资质条件</w:t>
            </w:r>
          </w:p>
        </w:tc>
        <w:tc>
          <w:tcPr>
            <w:tcW w:w="5385" w:type="dxa"/>
            <w:tcBorders>
              <w:top w:val="single" w:color="auto" w:sz="4" w:space="0"/>
              <w:left w:val="single" w:color="auto" w:sz="4" w:space="0"/>
              <w:bottom w:val="single" w:color="auto" w:sz="4" w:space="0"/>
              <w:right w:val="single" w:color="auto" w:sz="4" w:space="0"/>
            </w:tcBorders>
            <w:vAlign w:val="center"/>
          </w:tcPr>
          <w:p w14:paraId="7ED40141">
            <w:pPr>
              <w:spacing w:line="460" w:lineRule="exact"/>
              <w:rPr>
                <w:rFonts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0D8F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FF3024D">
            <w:pPr>
              <w:spacing w:line="460" w:lineRule="exact"/>
              <w:jc w:val="center"/>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ED1A841">
            <w:pPr>
              <w:spacing w:line="460" w:lineRule="exact"/>
              <w:jc w:val="center"/>
              <w:rPr>
                <w:rFonts w:ascii="宋体" w:hAnsi="宋体" w:cs="宋体"/>
                <w:color w:val="auto"/>
                <w:kern w:val="0"/>
                <w:highlight w:val="none"/>
              </w:rPr>
            </w:pPr>
          </w:p>
        </w:tc>
        <w:tc>
          <w:tcPr>
            <w:tcW w:w="2469" w:type="dxa"/>
            <w:gridSpan w:val="2"/>
            <w:tcBorders>
              <w:left w:val="single" w:color="auto" w:sz="4" w:space="0"/>
              <w:right w:val="single" w:color="auto" w:sz="4" w:space="0"/>
            </w:tcBorders>
            <w:vAlign w:val="center"/>
          </w:tcPr>
          <w:p w14:paraId="0615E923">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安全生产条件</w:t>
            </w:r>
          </w:p>
        </w:tc>
        <w:tc>
          <w:tcPr>
            <w:tcW w:w="5385" w:type="dxa"/>
            <w:tcBorders>
              <w:top w:val="single" w:color="auto" w:sz="4" w:space="0"/>
              <w:left w:val="single" w:color="auto" w:sz="4" w:space="0"/>
              <w:bottom w:val="single" w:color="auto" w:sz="4" w:space="0"/>
              <w:right w:val="single" w:color="auto" w:sz="4" w:space="0"/>
            </w:tcBorders>
            <w:vAlign w:val="center"/>
          </w:tcPr>
          <w:p w14:paraId="5687C10F">
            <w:pPr>
              <w:spacing w:line="460" w:lineRule="exact"/>
              <w:rPr>
                <w:rFonts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44A9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6ED0E1A">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42DDF7E3">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C737FD3">
            <w:pPr>
              <w:spacing w:line="460" w:lineRule="exact"/>
              <w:jc w:val="center"/>
              <w:rPr>
                <w:rFonts w:ascii="宋体" w:hAnsi="宋体" w:cs="宋体"/>
                <w:color w:val="auto"/>
                <w:kern w:val="0"/>
                <w:highlight w:val="none"/>
              </w:rPr>
            </w:pPr>
          </w:p>
          <w:p w14:paraId="6055978E">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5385" w:type="dxa"/>
            <w:tcBorders>
              <w:top w:val="single" w:color="auto" w:sz="4" w:space="0"/>
              <w:left w:val="single" w:color="auto" w:sz="4" w:space="0"/>
              <w:bottom w:val="single" w:color="auto" w:sz="4" w:space="0"/>
              <w:right w:val="single" w:color="auto" w:sz="4" w:space="0"/>
            </w:tcBorders>
            <w:vAlign w:val="center"/>
          </w:tcPr>
          <w:p w14:paraId="22A2ABD4">
            <w:pPr>
              <w:spacing w:line="460" w:lineRule="exact"/>
              <w:rPr>
                <w:rFonts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5D34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20BAA2E">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4CEA9FDB">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6C8318D">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其他要求</w:t>
            </w:r>
          </w:p>
        </w:tc>
        <w:tc>
          <w:tcPr>
            <w:tcW w:w="5385" w:type="dxa"/>
            <w:tcBorders>
              <w:top w:val="single" w:color="auto" w:sz="4" w:space="0"/>
              <w:left w:val="single" w:color="auto" w:sz="4" w:space="0"/>
              <w:bottom w:val="single" w:color="auto" w:sz="4" w:space="0"/>
              <w:right w:val="single" w:color="auto" w:sz="4" w:space="0"/>
            </w:tcBorders>
            <w:vAlign w:val="center"/>
          </w:tcPr>
          <w:p w14:paraId="098B7EB0">
            <w:pPr>
              <w:spacing w:line="460" w:lineRule="exact"/>
              <w:rPr>
                <w:rFonts w:ascii="宋体" w:hAnsi="宋体" w:cs="宋体"/>
                <w:color w:val="auto"/>
                <w:kern w:val="0"/>
                <w:highlight w:val="none"/>
              </w:rPr>
            </w:pPr>
            <w:r>
              <w:rPr>
                <w:rFonts w:hint="eastAsia" w:ascii="宋体" w:hAnsi="宋体" w:cs="宋体"/>
                <w:color w:val="auto"/>
                <w:kern w:val="0"/>
                <w:highlight w:val="none"/>
              </w:rPr>
              <w:t>符合第二章“比选申请人须知”第1.4.1项规定</w:t>
            </w:r>
          </w:p>
        </w:tc>
      </w:tr>
      <w:tr w14:paraId="02F8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928114D">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5FD47E42">
            <w:pPr>
              <w:widowControl/>
              <w:spacing w:line="460" w:lineRule="exact"/>
              <w:jc w:val="left"/>
              <w:rPr>
                <w:rFonts w:ascii="宋体" w:hAnsi="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140AF01F">
            <w:pPr>
              <w:spacing w:line="460" w:lineRule="exact"/>
              <w:jc w:val="center"/>
              <w:rPr>
                <w:rFonts w:ascii="宋体" w:hAnsi="宋体" w:cs="宋体"/>
                <w:color w:val="auto"/>
                <w:kern w:val="0"/>
                <w:highlight w:val="none"/>
              </w:rPr>
            </w:pPr>
            <w:r>
              <w:rPr>
                <w:rFonts w:hint="eastAsia" w:ascii="宋体" w:hAnsi="宋体"/>
                <w:bCs/>
                <w:color w:val="auto"/>
                <w:szCs w:val="21"/>
                <w:highlight w:val="none"/>
              </w:rPr>
              <w:t>投标截止日比选申请资格情况</w:t>
            </w:r>
          </w:p>
        </w:tc>
        <w:tc>
          <w:tcPr>
            <w:tcW w:w="5385" w:type="dxa"/>
            <w:tcBorders>
              <w:top w:val="single" w:color="auto" w:sz="4" w:space="0"/>
              <w:left w:val="single" w:color="auto" w:sz="4" w:space="0"/>
              <w:bottom w:val="single" w:color="auto" w:sz="4" w:space="0"/>
              <w:right w:val="single" w:color="auto" w:sz="4" w:space="0"/>
            </w:tcBorders>
            <w:vAlign w:val="center"/>
          </w:tcPr>
          <w:p w14:paraId="3F25A188">
            <w:pPr>
              <w:spacing w:line="460" w:lineRule="exact"/>
              <w:rPr>
                <w:rFonts w:ascii="宋体" w:hAnsi="宋体" w:cs="宋体"/>
                <w:color w:val="auto"/>
                <w:kern w:val="0"/>
                <w:highlight w:val="none"/>
                <w:u w:val="single"/>
              </w:rPr>
            </w:pPr>
            <w:r>
              <w:rPr>
                <w:rFonts w:hint="eastAsia" w:ascii="宋体" w:hAnsi="宋体" w:cs="宋体"/>
                <w:color w:val="auto"/>
                <w:kern w:val="0"/>
                <w:highlight w:val="none"/>
              </w:rPr>
              <w:t>符合第二章“比选申请人须知”第1.4.1项规定</w:t>
            </w:r>
          </w:p>
        </w:tc>
      </w:tr>
      <w:tr w14:paraId="0D9C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2146E88C">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2.1.3</w:t>
            </w:r>
          </w:p>
        </w:tc>
        <w:tc>
          <w:tcPr>
            <w:tcW w:w="1001" w:type="dxa"/>
            <w:vMerge w:val="restart"/>
            <w:tcBorders>
              <w:top w:val="single" w:color="auto" w:sz="4" w:space="0"/>
              <w:left w:val="single" w:color="auto" w:sz="4" w:space="0"/>
              <w:bottom w:val="single" w:color="auto" w:sz="4" w:space="0"/>
              <w:right w:val="single" w:color="auto" w:sz="4" w:space="0"/>
            </w:tcBorders>
            <w:vAlign w:val="center"/>
          </w:tcPr>
          <w:p w14:paraId="67274A49">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响应性评审标准</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CE0ECEA">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比选内容</w:t>
            </w:r>
          </w:p>
        </w:tc>
        <w:tc>
          <w:tcPr>
            <w:tcW w:w="5385" w:type="dxa"/>
            <w:tcBorders>
              <w:top w:val="single" w:color="auto" w:sz="4" w:space="0"/>
              <w:left w:val="single" w:color="auto" w:sz="4" w:space="0"/>
              <w:bottom w:val="single" w:color="auto" w:sz="4" w:space="0"/>
              <w:right w:val="single" w:color="auto" w:sz="4" w:space="0"/>
            </w:tcBorders>
          </w:tcPr>
          <w:p w14:paraId="5A9A86BC">
            <w:pPr>
              <w:spacing w:line="460" w:lineRule="exact"/>
              <w:jc w:val="left"/>
              <w:rPr>
                <w:rFonts w:ascii="宋体" w:hAnsi="宋体" w:cs="宋体"/>
                <w:color w:val="auto"/>
                <w:kern w:val="0"/>
                <w:highlight w:val="none"/>
              </w:rPr>
            </w:pPr>
            <w:r>
              <w:rPr>
                <w:rFonts w:hint="eastAsia" w:ascii="宋体" w:hAnsi="宋体" w:cs="宋体"/>
                <w:color w:val="auto"/>
                <w:kern w:val="0"/>
                <w:highlight w:val="none"/>
              </w:rPr>
              <w:t>符合第二章“比选申请人须知”第1.3.1项规定</w:t>
            </w:r>
          </w:p>
        </w:tc>
      </w:tr>
      <w:tr w14:paraId="1065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3933731">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79D5BE7F">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7701B838">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工期</w:t>
            </w:r>
          </w:p>
        </w:tc>
        <w:tc>
          <w:tcPr>
            <w:tcW w:w="5385" w:type="dxa"/>
            <w:tcBorders>
              <w:top w:val="single" w:color="auto" w:sz="4" w:space="0"/>
              <w:left w:val="single" w:color="auto" w:sz="4" w:space="0"/>
              <w:bottom w:val="single" w:color="auto" w:sz="4" w:space="0"/>
              <w:right w:val="single" w:color="auto" w:sz="4" w:space="0"/>
            </w:tcBorders>
          </w:tcPr>
          <w:p w14:paraId="6EEA2FF4">
            <w:pPr>
              <w:spacing w:line="460" w:lineRule="exact"/>
              <w:jc w:val="left"/>
              <w:rPr>
                <w:rFonts w:ascii="宋体" w:hAnsi="宋体" w:cs="宋体"/>
                <w:color w:val="auto"/>
                <w:kern w:val="0"/>
                <w:highlight w:val="none"/>
              </w:rPr>
            </w:pPr>
            <w:r>
              <w:rPr>
                <w:rFonts w:hint="eastAsia" w:ascii="宋体" w:hAnsi="宋体" w:cs="宋体"/>
                <w:color w:val="auto"/>
                <w:kern w:val="0"/>
                <w:highlight w:val="none"/>
              </w:rPr>
              <w:t>符合第二章“比选申请人须知”第1.3.2项规定</w:t>
            </w:r>
          </w:p>
        </w:tc>
      </w:tr>
      <w:tr w14:paraId="0A22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57FFBFA6">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263F22B8">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3CFFD43">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工程质量</w:t>
            </w:r>
          </w:p>
        </w:tc>
        <w:tc>
          <w:tcPr>
            <w:tcW w:w="5385" w:type="dxa"/>
            <w:tcBorders>
              <w:top w:val="single" w:color="auto" w:sz="4" w:space="0"/>
              <w:left w:val="single" w:color="auto" w:sz="4" w:space="0"/>
              <w:bottom w:val="single" w:color="auto" w:sz="4" w:space="0"/>
              <w:right w:val="single" w:color="auto" w:sz="4" w:space="0"/>
            </w:tcBorders>
          </w:tcPr>
          <w:p w14:paraId="49280B6D">
            <w:pPr>
              <w:spacing w:line="460" w:lineRule="exact"/>
              <w:jc w:val="left"/>
              <w:rPr>
                <w:rFonts w:ascii="宋体" w:hAnsi="宋体" w:cs="宋体"/>
                <w:color w:val="auto"/>
                <w:kern w:val="0"/>
                <w:highlight w:val="none"/>
              </w:rPr>
            </w:pPr>
            <w:r>
              <w:rPr>
                <w:rFonts w:hint="eastAsia" w:ascii="宋体" w:hAnsi="宋体" w:cs="宋体"/>
                <w:color w:val="auto"/>
                <w:kern w:val="0"/>
                <w:highlight w:val="none"/>
              </w:rPr>
              <w:t>符合第二章“比选申请人须知”第1.3.3项规定</w:t>
            </w:r>
          </w:p>
        </w:tc>
      </w:tr>
      <w:tr w14:paraId="7945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FF94052">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4C990358">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7276AD5">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比选申请有效期</w:t>
            </w:r>
          </w:p>
        </w:tc>
        <w:tc>
          <w:tcPr>
            <w:tcW w:w="5385" w:type="dxa"/>
            <w:tcBorders>
              <w:top w:val="single" w:color="auto" w:sz="4" w:space="0"/>
              <w:left w:val="single" w:color="auto" w:sz="4" w:space="0"/>
              <w:bottom w:val="single" w:color="auto" w:sz="4" w:space="0"/>
              <w:right w:val="single" w:color="auto" w:sz="4" w:space="0"/>
            </w:tcBorders>
          </w:tcPr>
          <w:p w14:paraId="7B57ABF3">
            <w:pPr>
              <w:spacing w:line="460" w:lineRule="exact"/>
              <w:jc w:val="left"/>
              <w:rPr>
                <w:rFonts w:ascii="宋体" w:hAnsi="宋体" w:cs="宋体"/>
                <w:color w:val="auto"/>
                <w:kern w:val="0"/>
                <w:highlight w:val="none"/>
              </w:rPr>
            </w:pPr>
            <w:r>
              <w:rPr>
                <w:rFonts w:hint="eastAsia" w:ascii="宋体" w:hAnsi="宋体" w:cs="宋体"/>
                <w:color w:val="auto"/>
                <w:kern w:val="0"/>
                <w:highlight w:val="none"/>
              </w:rPr>
              <w:t>符合第二章“比选申请人须知”第3.3.1项规定</w:t>
            </w:r>
          </w:p>
        </w:tc>
      </w:tr>
      <w:tr w14:paraId="3B67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876F6D1">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73B38BC3">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183C9601">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比选申请保证金</w:t>
            </w:r>
          </w:p>
        </w:tc>
        <w:tc>
          <w:tcPr>
            <w:tcW w:w="5385" w:type="dxa"/>
            <w:tcBorders>
              <w:top w:val="single" w:color="auto" w:sz="4" w:space="0"/>
              <w:left w:val="single" w:color="auto" w:sz="4" w:space="0"/>
              <w:bottom w:val="single" w:color="auto" w:sz="4" w:space="0"/>
              <w:right w:val="single" w:color="auto" w:sz="4" w:space="0"/>
            </w:tcBorders>
            <w:vAlign w:val="center"/>
          </w:tcPr>
          <w:p w14:paraId="2F921D59">
            <w:pPr>
              <w:tabs>
                <w:tab w:val="left" w:pos="601"/>
              </w:tabs>
              <w:snapToGrid w:val="0"/>
              <w:spacing w:line="460" w:lineRule="exact"/>
              <w:rPr>
                <w:rFonts w:ascii="宋体" w:hAnsi="宋体" w:cs="宋体"/>
                <w:color w:val="auto"/>
                <w:kern w:val="0"/>
                <w:highlight w:val="none"/>
              </w:rPr>
            </w:pPr>
            <w:r>
              <w:rPr>
                <w:rFonts w:hint="eastAsia" w:ascii="宋体" w:hAnsi="宋体" w:cs="宋体"/>
                <w:color w:val="auto"/>
                <w:kern w:val="0"/>
                <w:szCs w:val="21"/>
                <w:highlight w:val="none"/>
              </w:rPr>
              <w:t>符合第二章比选申请人须知前附表第3.4.1项</w:t>
            </w:r>
            <w:r>
              <w:rPr>
                <w:rFonts w:hint="eastAsia" w:ascii="宋体" w:hAnsi="宋体" w:cs="宋体"/>
                <w:color w:val="auto"/>
                <w:kern w:val="0"/>
                <w:highlight w:val="none"/>
              </w:rPr>
              <w:t>规定。</w:t>
            </w:r>
          </w:p>
        </w:tc>
      </w:tr>
      <w:tr w14:paraId="3C8A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BC85ABE">
            <w:pPr>
              <w:widowControl/>
              <w:spacing w:line="460" w:lineRule="exact"/>
              <w:jc w:val="left"/>
              <w:rPr>
                <w:rFonts w:ascii="宋体" w:hAnsi="宋体" w:cs="宋体"/>
                <w:color w:val="auto"/>
                <w:kern w:val="0"/>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7ED6BA55">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130C4A59">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权利义务</w:t>
            </w:r>
          </w:p>
        </w:tc>
        <w:tc>
          <w:tcPr>
            <w:tcW w:w="5385" w:type="dxa"/>
            <w:tcBorders>
              <w:top w:val="single" w:color="auto" w:sz="4" w:space="0"/>
              <w:left w:val="single" w:color="auto" w:sz="4" w:space="0"/>
              <w:bottom w:val="single" w:color="auto" w:sz="4" w:space="0"/>
              <w:right w:val="single" w:color="auto" w:sz="4" w:space="0"/>
            </w:tcBorders>
            <w:vAlign w:val="center"/>
          </w:tcPr>
          <w:p w14:paraId="7C81E662">
            <w:pPr>
              <w:spacing w:line="460" w:lineRule="exact"/>
              <w:rPr>
                <w:rFonts w:ascii="宋体" w:hAnsi="宋体" w:cs="宋体"/>
                <w:color w:val="auto"/>
                <w:kern w:val="0"/>
                <w:highlight w:val="none"/>
              </w:rPr>
            </w:pPr>
            <w:r>
              <w:rPr>
                <w:rFonts w:hint="eastAsia" w:ascii="宋体" w:hAnsi="宋体" w:cs="宋体"/>
                <w:color w:val="auto"/>
                <w:kern w:val="0"/>
                <w:highlight w:val="none"/>
              </w:rPr>
              <w:t>符合第四章“合同条款及格式”规定，比选申请文件不应附有比选人不能接受的条件。（由比选申请人承诺，承诺书格式详见第八章比选申请文件格式。）</w:t>
            </w:r>
          </w:p>
        </w:tc>
      </w:tr>
      <w:tr w14:paraId="5476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CC8A76D">
            <w:pPr>
              <w:widowControl/>
              <w:spacing w:line="460" w:lineRule="exact"/>
              <w:jc w:val="left"/>
              <w:rPr>
                <w:rFonts w:ascii="宋体" w:hAnsi="宋体" w:cs="宋体"/>
                <w:color w:val="auto"/>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214DE382">
            <w:pPr>
              <w:widowControl/>
              <w:spacing w:line="460" w:lineRule="exact"/>
              <w:jc w:val="left"/>
              <w:rPr>
                <w:rFonts w:ascii="宋体" w:hAnsi="宋体" w:cs="宋体"/>
                <w:color w:val="auto"/>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37C8D267">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5385" w:type="dxa"/>
            <w:tcBorders>
              <w:top w:val="single" w:color="auto" w:sz="4" w:space="0"/>
              <w:left w:val="single" w:color="auto" w:sz="4" w:space="0"/>
              <w:bottom w:val="single" w:color="auto" w:sz="4" w:space="0"/>
              <w:right w:val="single" w:color="auto" w:sz="4" w:space="0"/>
            </w:tcBorders>
            <w:vAlign w:val="center"/>
          </w:tcPr>
          <w:p w14:paraId="2549AFC3">
            <w:pPr>
              <w:spacing w:line="460" w:lineRule="exact"/>
              <w:rPr>
                <w:rFonts w:ascii="宋体" w:hAnsi="宋体" w:cs="宋体"/>
                <w:color w:val="auto"/>
                <w:kern w:val="0"/>
                <w:highlight w:val="none"/>
              </w:rPr>
            </w:pPr>
            <w:r>
              <w:rPr>
                <w:rFonts w:hint="eastAsia" w:ascii="宋体" w:hAnsi="宋体" w:cs="宋体"/>
                <w:color w:val="auto"/>
                <w:kern w:val="0"/>
                <w:highlight w:val="none"/>
              </w:rPr>
              <w:t>符合第七章“技术标准和要求”规定。（由比选申请人承诺，承诺书格式详见第八章比选申请文件格式。）</w:t>
            </w:r>
          </w:p>
        </w:tc>
      </w:tr>
      <w:tr w14:paraId="408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51E2550B">
            <w:pPr>
              <w:widowControl/>
              <w:spacing w:line="460" w:lineRule="exact"/>
              <w:jc w:val="left"/>
              <w:rPr>
                <w:rFonts w:ascii="宋体" w:hAnsi="宋体" w:cs="宋体"/>
                <w:color w:val="auto"/>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758061FB">
            <w:pPr>
              <w:widowControl/>
              <w:spacing w:line="460" w:lineRule="exact"/>
              <w:jc w:val="left"/>
              <w:rPr>
                <w:rFonts w:ascii="宋体" w:hAnsi="宋体" w:cs="宋体"/>
                <w:color w:val="auto"/>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3331EA3D">
            <w:pPr>
              <w:spacing w:line="460" w:lineRule="exact"/>
              <w:jc w:val="center"/>
              <w:rPr>
                <w:rFonts w:ascii="宋体" w:hAnsi="宋体"/>
                <w:color w:val="auto"/>
                <w:kern w:val="0"/>
                <w:highlight w:val="none"/>
              </w:rPr>
            </w:pPr>
            <w:r>
              <w:rPr>
                <w:rFonts w:hint="eastAsia" w:ascii="宋体" w:hAnsi="宋体"/>
                <w:color w:val="auto"/>
                <w:kern w:val="0"/>
                <w:highlight w:val="none"/>
              </w:rPr>
              <w:t>实质性要求</w:t>
            </w:r>
          </w:p>
        </w:tc>
        <w:tc>
          <w:tcPr>
            <w:tcW w:w="5385" w:type="dxa"/>
            <w:tcBorders>
              <w:top w:val="single" w:color="auto" w:sz="4" w:space="0"/>
              <w:left w:val="single" w:color="auto" w:sz="4" w:space="0"/>
              <w:bottom w:val="single" w:color="auto" w:sz="4" w:space="0"/>
              <w:right w:val="single" w:color="auto" w:sz="4" w:space="0"/>
            </w:tcBorders>
            <w:vAlign w:val="center"/>
          </w:tcPr>
          <w:p w14:paraId="19C0E2D1">
            <w:pPr>
              <w:spacing w:after="65"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符合第二章“比选申请人须知”第1.4.3项规定。</w:t>
            </w:r>
          </w:p>
          <w:p w14:paraId="5E092BAD">
            <w:pPr>
              <w:spacing w:after="65"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14:paraId="133C4067">
            <w:pPr>
              <w:spacing w:line="460" w:lineRule="exact"/>
              <w:rPr>
                <w:rFonts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1AC6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829" w:type="dxa"/>
            <w:gridSpan w:val="2"/>
            <w:tcBorders>
              <w:top w:val="single" w:color="auto" w:sz="4" w:space="0"/>
              <w:left w:val="single" w:color="auto" w:sz="4" w:space="0"/>
              <w:bottom w:val="single" w:color="auto" w:sz="4" w:space="0"/>
              <w:right w:val="single" w:color="auto" w:sz="4" w:space="0"/>
            </w:tcBorders>
            <w:vAlign w:val="center"/>
          </w:tcPr>
          <w:p w14:paraId="0F3FED27">
            <w:pPr>
              <w:spacing w:line="460" w:lineRule="exact"/>
              <w:ind w:firstLine="210" w:firstLineChars="100"/>
              <w:jc w:val="center"/>
              <w:rPr>
                <w:rFonts w:ascii="宋体" w:hAnsi="宋体" w:cs="宋体"/>
                <w:color w:val="auto"/>
                <w:kern w:val="0"/>
                <w:highlight w:val="none"/>
              </w:rPr>
            </w:pPr>
            <w:r>
              <w:rPr>
                <w:rFonts w:hint="eastAsia" w:ascii="宋体" w:hAnsi="宋体" w:cs="宋体"/>
                <w:color w:val="auto"/>
                <w:kern w:val="0"/>
                <w:highlight w:val="none"/>
              </w:rPr>
              <w:t>2.2.1</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381E1283">
            <w:pPr>
              <w:tabs>
                <w:tab w:val="left" w:pos="1875"/>
              </w:tabs>
              <w:spacing w:line="460" w:lineRule="exact"/>
              <w:jc w:val="center"/>
              <w:rPr>
                <w:rFonts w:ascii="宋体" w:hAnsi="宋体" w:cs="宋体"/>
                <w:color w:val="auto"/>
                <w:kern w:val="0"/>
                <w:highlight w:val="none"/>
              </w:rPr>
            </w:pPr>
            <w:r>
              <w:rPr>
                <w:rFonts w:hint="eastAsia" w:ascii="宋体" w:hAnsi="宋体" w:cs="宋体"/>
                <w:color w:val="auto"/>
                <w:kern w:val="0"/>
                <w:highlight w:val="none"/>
              </w:rPr>
              <w:t>分值构成 (总分1OO分)</w:t>
            </w:r>
          </w:p>
        </w:tc>
        <w:tc>
          <w:tcPr>
            <w:tcW w:w="5385" w:type="dxa"/>
            <w:tcBorders>
              <w:top w:val="single" w:color="auto" w:sz="4" w:space="0"/>
              <w:left w:val="single" w:color="auto" w:sz="4" w:space="0"/>
              <w:bottom w:val="single" w:color="auto" w:sz="4" w:space="0"/>
              <w:right w:val="single" w:color="auto" w:sz="4" w:space="0"/>
            </w:tcBorders>
            <w:vAlign w:val="center"/>
          </w:tcPr>
          <w:p w14:paraId="6D4FC785">
            <w:pPr>
              <w:snapToGrid w:val="0"/>
              <w:spacing w:line="460" w:lineRule="exact"/>
              <w:jc w:val="left"/>
              <w:rPr>
                <w:rFonts w:ascii="宋体" w:hAnsi="宋体" w:cs="宋体"/>
                <w:color w:val="auto"/>
                <w:kern w:val="0"/>
                <w:highlight w:val="none"/>
              </w:rPr>
            </w:pPr>
            <w:r>
              <w:rPr>
                <w:rFonts w:hint="eastAsia" w:ascii="宋体" w:hAnsi="宋体" w:cs="宋体"/>
                <w:color w:val="auto"/>
                <w:kern w:val="0"/>
                <w:highlight w:val="none"/>
              </w:rPr>
              <w:t>（1）比选申请总报价：70分；</w:t>
            </w:r>
          </w:p>
          <w:p w14:paraId="091C5E35">
            <w:pPr>
              <w:snapToGrid w:val="0"/>
              <w:spacing w:line="460" w:lineRule="exact"/>
              <w:jc w:val="left"/>
              <w:rPr>
                <w:rFonts w:ascii="宋体" w:hAnsi="宋体" w:cs="宋体"/>
                <w:color w:val="auto"/>
                <w:kern w:val="0"/>
                <w:highlight w:val="none"/>
              </w:rPr>
            </w:pPr>
            <w:r>
              <w:rPr>
                <w:rFonts w:hint="eastAsia" w:ascii="宋体" w:hAnsi="宋体" w:cs="宋体"/>
                <w:color w:val="auto"/>
                <w:kern w:val="0"/>
                <w:highlight w:val="none"/>
              </w:rPr>
              <w:t>（2）技术部分：30分；</w:t>
            </w:r>
          </w:p>
        </w:tc>
      </w:tr>
      <w:tr w14:paraId="562C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829" w:type="dxa"/>
            <w:gridSpan w:val="2"/>
            <w:tcBorders>
              <w:top w:val="single" w:color="auto" w:sz="4" w:space="0"/>
              <w:left w:val="single" w:color="auto" w:sz="4" w:space="0"/>
              <w:right w:val="single" w:color="auto" w:sz="4" w:space="0"/>
            </w:tcBorders>
            <w:vAlign w:val="center"/>
          </w:tcPr>
          <w:p w14:paraId="6ADC0B1D">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2.2.2</w:t>
            </w:r>
          </w:p>
        </w:tc>
        <w:tc>
          <w:tcPr>
            <w:tcW w:w="924" w:type="dxa"/>
            <w:tcBorders>
              <w:top w:val="single" w:color="auto" w:sz="4" w:space="0"/>
              <w:left w:val="single" w:color="auto" w:sz="4" w:space="0"/>
              <w:right w:val="single" w:color="auto" w:sz="4" w:space="0"/>
            </w:tcBorders>
            <w:vAlign w:val="center"/>
          </w:tcPr>
          <w:p w14:paraId="0D580203">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评标基准价计算方法</w:t>
            </w:r>
          </w:p>
        </w:tc>
        <w:tc>
          <w:tcPr>
            <w:tcW w:w="1545" w:type="dxa"/>
            <w:tcBorders>
              <w:top w:val="single" w:color="auto" w:sz="4" w:space="0"/>
              <w:left w:val="single" w:color="auto" w:sz="4" w:space="0"/>
              <w:bottom w:val="single" w:color="auto" w:sz="4" w:space="0"/>
              <w:right w:val="single" w:color="auto" w:sz="4" w:space="0"/>
            </w:tcBorders>
            <w:textDirection w:val="tbRlV"/>
            <w:vAlign w:val="center"/>
          </w:tcPr>
          <w:p w14:paraId="20805F38">
            <w:pPr>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比选申请总报价</w:t>
            </w:r>
          </w:p>
        </w:tc>
        <w:tc>
          <w:tcPr>
            <w:tcW w:w="5385" w:type="dxa"/>
            <w:tcBorders>
              <w:top w:val="single" w:color="auto" w:sz="4" w:space="0"/>
              <w:left w:val="single" w:color="auto" w:sz="4" w:space="0"/>
              <w:bottom w:val="single" w:color="auto" w:sz="4" w:space="0"/>
              <w:right w:val="single" w:color="auto" w:sz="4" w:space="0"/>
            </w:tcBorders>
          </w:tcPr>
          <w:p w14:paraId="539B3E0B">
            <w:pPr>
              <w:snapToGrid w:val="0"/>
              <w:spacing w:line="460" w:lineRule="exact"/>
              <w:ind w:firstLine="420" w:firstLineChars="200"/>
              <w:rPr>
                <w:color w:val="auto"/>
                <w:szCs w:val="21"/>
                <w:highlight w:val="none"/>
              </w:rPr>
            </w:pPr>
            <w:r>
              <w:rPr>
                <w:rFonts w:hint="eastAsia"/>
                <w:color w:val="auto"/>
                <w:szCs w:val="21"/>
                <w:highlight w:val="none"/>
              </w:rPr>
              <w:t>所有通过初步评审合格的比选申请人（比选人设有最高限价的，则比选申请报价高于最高限价的除外）的比选申请总报价中去掉六分之一（不能整除的按小数点前整数取整，不足六家报价则不去掉）的最低价和相同家数的最高价后的算术平均值，该平均值作为比选申请总报价的评标基准价。</w:t>
            </w:r>
          </w:p>
          <w:p w14:paraId="4006DB21">
            <w:pPr>
              <w:snapToGrid w:val="0"/>
              <w:spacing w:line="460" w:lineRule="exact"/>
              <w:ind w:firstLine="420" w:firstLineChars="200"/>
              <w:rPr>
                <w:color w:val="auto"/>
                <w:szCs w:val="21"/>
                <w:highlight w:val="none"/>
              </w:rPr>
            </w:pPr>
            <w:r>
              <w:rPr>
                <w:rFonts w:hint="eastAsia"/>
                <w:color w:val="auto"/>
                <w:szCs w:val="21"/>
                <w:highlight w:val="none"/>
              </w:rPr>
              <w:t>以上计算取小数点后两位，第三位四舍五入。</w:t>
            </w:r>
          </w:p>
          <w:p w14:paraId="76D55EBF">
            <w:pPr>
              <w:snapToGrid w:val="0"/>
              <w:spacing w:line="460" w:lineRule="exact"/>
              <w:ind w:firstLine="420" w:firstLineChars="200"/>
              <w:rPr>
                <w:rFonts w:ascii="宋体" w:hAnsi="宋体" w:cs="宋体"/>
                <w:color w:val="auto"/>
                <w:kern w:val="0"/>
                <w:szCs w:val="21"/>
                <w:highlight w:val="none"/>
              </w:rPr>
            </w:pPr>
            <w:r>
              <w:rPr>
                <w:rFonts w:hint="eastAsia"/>
                <w:color w:val="auto"/>
                <w:szCs w:val="21"/>
                <w:highlight w:val="none"/>
              </w:rPr>
              <w:t>在评标基准价计算完成后（除计算错误外），在后续的评审中不得再对其做出调整。</w:t>
            </w:r>
          </w:p>
        </w:tc>
      </w:tr>
      <w:tr w14:paraId="0365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829" w:type="dxa"/>
            <w:gridSpan w:val="2"/>
            <w:tcBorders>
              <w:top w:val="single" w:color="auto" w:sz="4" w:space="0"/>
              <w:left w:val="single" w:color="auto" w:sz="4" w:space="0"/>
              <w:right w:val="single" w:color="auto" w:sz="4" w:space="0"/>
            </w:tcBorders>
            <w:vAlign w:val="center"/>
          </w:tcPr>
          <w:p w14:paraId="529E6B01">
            <w:pPr>
              <w:autoSpaceDE w:val="0"/>
              <w:autoSpaceDN w:val="0"/>
              <w:adjustRightInd w:val="0"/>
              <w:spacing w:line="460" w:lineRule="exact"/>
              <w:jc w:val="center"/>
              <w:rPr>
                <w:rFonts w:ascii="宋体" w:hAnsi="宋体"/>
                <w:color w:val="auto"/>
                <w:szCs w:val="21"/>
                <w:highlight w:val="none"/>
              </w:rPr>
            </w:pPr>
            <w:r>
              <w:rPr>
                <w:rFonts w:hint="eastAsia" w:ascii="宋体" w:hAnsi="宋体"/>
                <w:color w:val="auto"/>
                <w:highlight w:val="none"/>
              </w:rPr>
              <w:t>2.</w:t>
            </w:r>
            <w:r>
              <w:rPr>
                <w:rFonts w:hint="eastAsia" w:ascii="宋体" w:hAnsi="宋体"/>
                <w:color w:val="auto"/>
                <w:kern w:val="0"/>
                <w:highlight w:val="none"/>
              </w:rPr>
              <w:t>2.</w:t>
            </w:r>
            <w:r>
              <w:rPr>
                <w:rFonts w:hint="eastAsia" w:ascii="宋体" w:hAnsi="宋体"/>
                <w:color w:val="auto"/>
                <w:highlight w:val="none"/>
              </w:rPr>
              <w:t>3</w:t>
            </w:r>
          </w:p>
        </w:tc>
        <w:tc>
          <w:tcPr>
            <w:tcW w:w="2469" w:type="dxa"/>
            <w:gridSpan w:val="2"/>
            <w:tcBorders>
              <w:top w:val="single" w:color="auto" w:sz="4" w:space="0"/>
              <w:left w:val="single" w:color="auto" w:sz="4" w:space="0"/>
              <w:right w:val="single" w:color="auto" w:sz="4" w:space="0"/>
            </w:tcBorders>
            <w:vAlign w:val="center"/>
          </w:tcPr>
          <w:p w14:paraId="2ADBC507">
            <w:pPr>
              <w:autoSpaceDE w:val="0"/>
              <w:autoSpaceDN w:val="0"/>
              <w:adjustRightInd w:val="0"/>
              <w:spacing w:line="460" w:lineRule="exact"/>
              <w:jc w:val="center"/>
              <w:rPr>
                <w:rFonts w:ascii="宋体" w:hAnsi="宋体"/>
                <w:color w:val="auto"/>
                <w:kern w:val="0"/>
                <w:szCs w:val="21"/>
                <w:highlight w:val="none"/>
              </w:rPr>
            </w:pPr>
            <w:r>
              <w:rPr>
                <w:rFonts w:hint="eastAsia" w:ascii="宋体" w:hAnsi="宋体"/>
                <w:color w:val="auto"/>
                <w:kern w:val="0"/>
                <w:highlight w:val="none"/>
              </w:rPr>
              <w:t>比选申请报价的偏差率计算公式</w:t>
            </w:r>
          </w:p>
        </w:tc>
        <w:tc>
          <w:tcPr>
            <w:tcW w:w="5385" w:type="dxa"/>
            <w:tcBorders>
              <w:top w:val="single" w:color="auto" w:sz="4" w:space="0"/>
              <w:left w:val="single" w:color="auto" w:sz="4" w:space="0"/>
              <w:bottom w:val="single" w:color="auto" w:sz="4" w:space="0"/>
              <w:right w:val="single" w:color="auto" w:sz="4" w:space="0"/>
            </w:tcBorders>
            <w:vAlign w:val="center"/>
          </w:tcPr>
          <w:p w14:paraId="32289F6B">
            <w:pPr>
              <w:autoSpaceDE w:val="0"/>
              <w:autoSpaceDN w:val="0"/>
              <w:adjustRightInd w:val="0"/>
              <w:spacing w:line="460" w:lineRule="exact"/>
              <w:ind w:firstLine="420" w:firstLineChars="200"/>
              <w:rPr>
                <w:rFonts w:ascii="宋体" w:hAnsi="宋体"/>
                <w:color w:val="auto"/>
                <w:szCs w:val="21"/>
                <w:highlight w:val="none"/>
              </w:rPr>
            </w:pPr>
            <w:r>
              <w:rPr>
                <w:rFonts w:hint="eastAsia" w:ascii="宋体" w:hAnsi="宋体"/>
                <w:color w:val="auto"/>
                <w:highlight w:val="none"/>
              </w:rPr>
              <w:t>偏差率=100%×（比选申请人报价-评标基准价）/评标基准价。</w:t>
            </w:r>
          </w:p>
          <w:p w14:paraId="13456924">
            <w:pPr>
              <w:autoSpaceDE w:val="0"/>
              <w:autoSpaceDN w:val="0"/>
              <w:adjustRightInd w:val="0"/>
              <w:spacing w:line="460" w:lineRule="exact"/>
              <w:ind w:firstLine="420" w:firstLineChars="200"/>
              <w:rPr>
                <w:rFonts w:ascii="宋体" w:hAnsi="宋体"/>
                <w:color w:val="auto"/>
                <w:szCs w:val="21"/>
                <w:highlight w:val="none"/>
              </w:rPr>
            </w:pPr>
            <w:r>
              <w:rPr>
                <w:rFonts w:hint="eastAsia" w:ascii="宋体" w:hAnsi="宋体"/>
                <w:color w:val="auto"/>
                <w:highlight w:val="none"/>
              </w:rPr>
              <w:t>偏差率计算保留小数点后两位，小数点后第三位“四舍五入”。</w:t>
            </w:r>
          </w:p>
        </w:tc>
      </w:tr>
      <w:tr w14:paraId="5EF8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28" w:type="dxa"/>
            <w:tcBorders>
              <w:top w:val="single" w:color="auto" w:sz="4" w:space="0"/>
              <w:left w:val="single" w:color="auto" w:sz="4" w:space="0"/>
              <w:right w:val="single" w:color="auto" w:sz="4" w:space="0"/>
            </w:tcBorders>
            <w:vAlign w:val="center"/>
          </w:tcPr>
          <w:p w14:paraId="663F3093">
            <w:pPr>
              <w:snapToGrid w:val="0"/>
              <w:spacing w:line="460" w:lineRule="exact"/>
              <w:ind w:left="105" w:hanging="105" w:hangingChars="50"/>
              <w:jc w:val="center"/>
              <w:rPr>
                <w:rFonts w:ascii="宋体" w:hAnsi="宋体" w:cs="宋体"/>
                <w:color w:val="auto"/>
                <w:kern w:val="0"/>
                <w:szCs w:val="21"/>
                <w:highlight w:val="none"/>
              </w:rPr>
            </w:pPr>
            <w:r>
              <w:rPr>
                <w:rFonts w:hint="eastAsia" w:ascii="宋体" w:hAnsi="宋体" w:cs="宋体"/>
                <w:color w:val="auto"/>
                <w:kern w:val="0"/>
                <w:szCs w:val="21"/>
                <w:highlight w:val="none"/>
              </w:rPr>
              <w:t>2.2.4 (1)</w:t>
            </w:r>
          </w:p>
        </w:tc>
        <w:tc>
          <w:tcPr>
            <w:tcW w:w="1001" w:type="dxa"/>
            <w:tcBorders>
              <w:top w:val="single" w:color="auto" w:sz="4" w:space="0"/>
              <w:left w:val="single" w:color="auto" w:sz="4" w:space="0"/>
              <w:right w:val="single" w:color="auto" w:sz="4" w:space="0"/>
            </w:tcBorders>
            <w:vAlign w:val="center"/>
          </w:tcPr>
          <w:p w14:paraId="25B5AAE0">
            <w:pPr>
              <w:snapToGrid w:val="0"/>
              <w:spacing w:line="460" w:lineRule="exact"/>
              <w:jc w:val="center"/>
              <w:rPr>
                <w:rFonts w:ascii="宋体" w:hAnsi="宋体" w:cs="宋体"/>
                <w:color w:val="auto"/>
                <w:kern w:val="0"/>
                <w:highlight w:val="none"/>
              </w:rPr>
            </w:pPr>
            <w:r>
              <w:rPr>
                <w:rFonts w:hint="eastAsia" w:ascii="宋体" w:hAnsi="宋体" w:cs="宋体"/>
                <w:color w:val="auto"/>
                <w:kern w:val="0"/>
                <w:highlight w:val="none"/>
              </w:rPr>
              <w:t>比选申请报价评分标准</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765E660">
            <w:pPr>
              <w:snapToGrid w:val="0"/>
              <w:spacing w:line="460" w:lineRule="exact"/>
              <w:jc w:val="center"/>
              <w:rPr>
                <w:rFonts w:ascii="宋体" w:hAnsi="宋体"/>
                <w:color w:val="auto"/>
                <w:highlight w:val="none"/>
              </w:rPr>
            </w:pPr>
          </w:p>
          <w:p w14:paraId="496E4F28">
            <w:pPr>
              <w:snapToGrid w:val="0"/>
              <w:spacing w:line="460" w:lineRule="exact"/>
              <w:jc w:val="center"/>
              <w:rPr>
                <w:rFonts w:ascii="宋体" w:hAnsi="宋体"/>
                <w:color w:val="auto"/>
                <w:highlight w:val="none"/>
              </w:rPr>
            </w:pPr>
            <w:r>
              <w:rPr>
                <w:rFonts w:hint="eastAsia" w:ascii="宋体" w:hAnsi="宋体" w:cs="宋体"/>
                <w:color w:val="auto"/>
                <w:kern w:val="0"/>
                <w:highlight w:val="none"/>
              </w:rPr>
              <w:t>比选申请</w:t>
            </w:r>
            <w:r>
              <w:rPr>
                <w:rFonts w:hint="eastAsia" w:ascii="宋体" w:hAnsi="宋体"/>
                <w:color w:val="auto"/>
                <w:highlight w:val="none"/>
              </w:rPr>
              <w:t>总报价</w:t>
            </w:r>
          </w:p>
          <w:p w14:paraId="03865F53">
            <w:pPr>
              <w:snapToGrid w:val="0"/>
              <w:spacing w:line="460" w:lineRule="exact"/>
              <w:jc w:val="center"/>
              <w:rPr>
                <w:rFonts w:ascii="宋体" w:hAnsi="宋体" w:cs="宋体"/>
                <w:color w:val="auto"/>
                <w:highlight w:val="none"/>
              </w:rPr>
            </w:pPr>
          </w:p>
        </w:tc>
        <w:tc>
          <w:tcPr>
            <w:tcW w:w="5385" w:type="dxa"/>
            <w:tcBorders>
              <w:top w:val="single" w:color="auto" w:sz="4" w:space="0"/>
              <w:left w:val="single" w:color="auto" w:sz="4" w:space="0"/>
              <w:bottom w:val="single" w:color="auto" w:sz="4" w:space="0"/>
              <w:right w:val="single" w:color="auto" w:sz="4" w:space="0"/>
            </w:tcBorders>
            <w:vAlign w:val="center"/>
          </w:tcPr>
          <w:p w14:paraId="2B9AA10C">
            <w:pPr>
              <w:snapToGrid w:val="0"/>
              <w:spacing w:line="460" w:lineRule="exact"/>
              <w:jc w:val="center"/>
              <w:rPr>
                <w:rFonts w:ascii="宋体" w:hAnsi="宋体" w:cs="宋体"/>
                <w:color w:val="auto"/>
                <w:highlight w:val="none"/>
              </w:rPr>
            </w:pPr>
            <w:r>
              <w:rPr>
                <w:rFonts w:hint="eastAsia" w:ascii="宋体" w:hAnsi="宋体" w:cs="宋体"/>
                <w:color w:val="auto"/>
                <w:highlight w:val="none"/>
                <w:u w:val="single"/>
              </w:rPr>
              <w:t xml:space="preserve">70 </w:t>
            </w:r>
            <w:r>
              <w:rPr>
                <w:rFonts w:hint="eastAsia" w:ascii="宋体" w:hAnsi="宋体" w:cs="宋体"/>
                <w:color w:val="auto"/>
                <w:highlight w:val="none"/>
              </w:rPr>
              <w:t>分</w:t>
            </w:r>
          </w:p>
        </w:tc>
      </w:tr>
      <w:tr w14:paraId="6BFF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28" w:type="dxa"/>
            <w:vMerge w:val="restart"/>
            <w:tcBorders>
              <w:top w:val="single" w:color="auto" w:sz="4" w:space="0"/>
              <w:left w:val="single" w:color="auto" w:sz="4" w:space="0"/>
              <w:right w:val="single" w:color="auto" w:sz="4" w:space="0"/>
            </w:tcBorders>
            <w:vAlign w:val="center"/>
          </w:tcPr>
          <w:p w14:paraId="35A1705A">
            <w:pPr>
              <w:spacing w:line="4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2.2.4 (2）</w:t>
            </w:r>
          </w:p>
        </w:tc>
        <w:tc>
          <w:tcPr>
            <w:tcW w:w="1001" w:type="dxa"/>
            <w:vMerge w:val="restart"/>
            <w:tcBorders>
              <w:top w:val="single" w:color="auto" w:sz="4" w:space="0"/>
              <w:left w:val="single" w:color="auto" w:sz="4" w:space="0"/>
              <w:right w:val="single" w:color="auto" w:sz="4" w:space="0"/>
            </w:tcBorders>
            <w:vAlign w:val="center"/>
          </w:tcPr>
          <w:p w14:paraId="2A3FB26A">
            <w:pPr>
              <w:spacing w:line="460" w:lineRule="exact"/>
              <w:jc w:val="left"/>
              <w:rPr>
                <w:rFonts w:hint="eastAsia" w:ascii="宋体" w:hAnsi="宋体" w:cs="宋体"/>
                <w:color w:val="auto"/>
                <w:kern w:val="0"/>
                <w:highlight w:val="none"/>
              </w:rPr>
            </w:pPr>
            <w:r>
              <w:rPr>
                <w:rFonts w:hint="eastAsia" w:ascii="宋体" w:hAnsi="宋体" w:cs="宋体"/>
                <w:color w:val="auto"/>
                <w:kern w:val="0"/>
                <w:highlight w:val="none"/>
                <w:lang w:eastAsia="zh-CN"/>
              </w:rPr>
              <w:t>技术方案</w:t>
            </w:r>
            <w:r>
              <w:rPr>
                <w:rFonts w:hint="eastAsia" w:ascii="宋体" w:hAnsi="宋体" w:cs="宋体"/>
                <w:color w:val="auto"/>
                <w:kern w:val="0"/>
                <w:highlight w:val="none"/>
              </w:rPr>
              <w:t>评分标准（30分）</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7592DE3">
            <w:pPr>
              <w:snapToGrid w:val="0"/>
              <w:spacing w:line="460" w:lineRule="exact"/>
              <w:jc w:val="center"/>
              <w:rPr>
                <w:rFonts w:ascii="宋体" w:hAnsi="宋体"/>
                <w:color w:val="auto"/>
                <w:highlight w:val="none"/>
              </w:rPr>
            </w:pPr>
            <w:r>
              <w:rPr>
                <w:rFonts w:hint="eastAsia" w:ascii="宋体" w:hAnsi="宋体" w:cs="宋体"/>
                <w:color w:val="auto"/>
                <w:kern w:val="0"/>
                <w:highlight w:val="none"/>
                <w:lang w:eastAsia="zh-CN"/>
              </w:rPr>
              <w:t>技术方案</w:t>
            </w:r>
            <w:r>
              <w:rPr>
                <w:rFonts w:hint="eastAsia" w:ascii="宋体" w:hAnsi="宋体" w:cs="宋体"/>
                <w:color w:val="auto"/>
                <w:kern w:val="0"/>
                <w:highlight w:val="none"/>
              </w:rPr>
              <w:t>形式要求</w:t>
            </w:r>
          </w:p>
        </w:tc>
        <w:tc>
          <w:tcPr>
            <w:tcW w:w="5385" w:type="dxa"/>
            <w:tcBorders>
              <w:top w:val="single" w:color="auto" w:sz="4" w:space="0"/>
              <w:left w:val="single" w:color="auto" w:sz="4" w:space="0"/>
              <w:bottom w:val="single" w:color="auto" w:sz="4" w:space="0"/>
              <w:right w:val="single" w:color="auto" w:sz="4" w:space="0"/>
            </w:tcBorders>
            <w:vAlign w:val="center"/>
          </w:tcPr>
          <w:p w14:paraId="41A04A5E">
            <w:pPr>
              <w:snapToGrid w:val="0"/>
              <w:spacing w:line="460" w:lineRule="exact"/>
              <w:jc w:val="left"/>
              <w:rPr>
                <w:rFonts w:hint="eastAsia" w:ascii="宋体" w:hAnsi="宋体" w:cs="宋体"/>
                <w:color w:val="auto"/>
                <w:highlight w:val="none"/>
                <w:u w:val="single"/>
              </w:rPr>
            </w:pPr>
            <w:r>
              <w:rPr>
                <w:rFonts w:hint="eastAsia" w:ascii="宋体" w:hAnsi="宋体" w:cs="宋体"/>
                <w:color w:val="auto"/>
                <w:kern w:val="0"/>
                <w:highlight w:val="none"/>
              </w:rPr>
              <w:t>须符合第二章比选申请人须知前附表第3.7.5项（2）技术部分的装订要求，否则其</w:t>
            </w:r>
            <w:r>
              <w:rPr>
                <w:rFonts w:hint="eastAsia" w:ascii="宋体" w:hAnsi="宋体" w:cs="宋体"/>
                <w:color w:val="auto"/>
                <w:kern w:val="0"/>
                <w:highlight w:val="none"/>
                <w:lang w:eastAsia="zh-CN"/>
              </w:rPr>
              <w:t>技术方案</w:t>
            </w:r>
            <w:r>
              <w:rPr>
                <w:rFonts w:hint="eastAsia" w:ascii="宋体" w:hAnsi="宋体" w:cs="宋体"/>
                <w:color w:val="auto"/>
                <w:kern w:val="0"/>
                <w:highlight w:val="none"/>
              </w:rPr>
              <w:t>为0分，不再对</w:t>
            </w:r>
            <w:r>
              <w:rPr>
                <w:rFonts w:hint="eastAsia" w:ascii="宋体" w:hAnsi="宋体" w:cs="宋体"/>
                <w:color w:val="auto"/>
                <w:kern w:val="0"/>
                <w:highlight w:val="none"/>
                <w:lang w:eastAsia="zh-CN"/>
              </w:rPr>
              <w:t>技术方案</w:t>
            </w:r>
            <w:r>
              <w:rPr>
                <w:rFonts w:hint="eastAsia" w:ascii="宋体" w:hAnsi="宋体" w:cs="宋体"/>
                <w:color w:val="auto"/>
                <w:kern w:val="0"/>
                <w:highlight w:val="none"/>
              </w:rPr>
              <w:t>的其他评分标准进行评审。</w:t>
            </w:r>
          </w:p>
        </w:tc>
      </w:tr>
      <w:tr w14:paraId="737C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8" w:type="dxa"/>
            <w:vMerge w:val="continue"/>
            <w:tcBorders>
              <w:left w:val="single" w:color="auto" w:sz="4" w:space="0"/>
              <w:right w:val="single" w:color="auto" w:sz="4" w:space="0"/>
            </w:tcBorders>
            <w:vAlign w:val="center"/>
          </w:tcPr>
          <w:p w14:paraId="4E4F5508">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428978C5">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142E5FA9">
            <w:pPr>
              <w:snapToGrid w:val="0"/>
              <w:spacing w:line="460" w:lineRule="exact"/>
              <w:jc w:val="center"/>
              <w:rPr>
                <w:rFonts w:ascii="宋体" w:hAnsi="宋体" w:cs="宋体"/>
                <w:color w:val="auto"/>
                <w:kern w:val="0"/>
                <w:highlight w:val="none"/>
              </w:rPr>
            </w:pPr>
            <w:r>
              <w:rPr>
                <w:rFonts w:hint="eastAsia" w:ascii="宋体" w:hAnsi="宋体" w:cs="宋体"/>
                <w:color w:val="auto"/>
                <w:kern w:val="0"/>
                <w:highlight w:val="none"/>
              </w:rPr>
              <w:t>内容完整性和编制水平</w:t>
            </w:r>
          </w:p>
        </w:tc>
        <w:tc>
          <w:tcPr>
            <w:tcW w:w="5385" w:type="dxa"/>
            <w:tcBorders>
              <w:top w:val="single" w:color="auto" w:sz="4" w:space="0"/>
              <w:left w:val="single" w:color="auto" w:sz="4" w:space="0"/>
              <w:bottom w:val="single" w:color="auto" w:sz="4" w:space="0"/>
              <w:right w:val="single" w:color="auto" w:sz="4" w:space="0"/>
            </w:tcBorders>
            <w:vAlign w:val="center"/>
          </w:tcPr>
          <w:p w14:paraId="7620E2E3">
            <w:pPr>
              <w:snapToGrid w:val="0"/>
              <w:spacing w:line="460" w:lineRule="exact"/>
              <w:jc w:val="left"/>
              <w:rPr>
                <w:rFonts w:ascii="宋体" w:hAnsi="宋体"/>
                <w:color w:val="auto"/>
                <w:highlight w:val="none"/>
              </w:rPr>
            </w:pPr>
            <w:r>
              <w:rPr>
                <w:rFonts w:hint="eastAsia" w:ascii="宋体" w:hAnsi="宋体"/>
                <w:color w:val="auto"/>
                <w:highlight w:val="none"/>
              </w:rPr>
              <w:t>内容完整性和编制水平（0-4分）：对项目总体认识全面深刻，论述完整清晰，总体组织符合实际、总体设计符合规范，总体计划合理，综合措施科学。</w:t>
            </w:r>
          </w:p>
          <w:p w14:paraId="4F4F60E3">
            <w:pPr>
              <w:snapToGrid w:val="0"/>
              <w:spacing w:line="460" w:lineRule="exact"/>
              <w:jc w:val="left"/>
              <w:rPr>
                <w:rFonts w:ascii="宋体" w:hAnsi="宋体"/>
                <w:color w:val="auto"/>
                <w:highlight w:val="none"/>
              </w:rPr>
            </w:pPr>
            <w:r>
              <w:rPr>
                <w:rFonts w:hint="eastAsia" w:ascii="宋体" w:hAnsi="宋体"/>
                <w:color w:val="auto"/>
                <w:highlight w:val="none"/>
              </w:rPr>
              <w:t>优秀得2-4分，一般的0-2分，差或未提供得0分。</w:t>
            </w:r>
          </w:p>
        </w:tc>
      </w:tr>
      <w:tr w14:paraId="461C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8" w:type="dxa"/>
            <w:vMerge w:val="continue"/>
            <w:tcBorders>
              <w:left w:val="single" w:color="auto" w:sz="4" w:space="0"/>
              <w:right w:val="single" w:color="auto" w:sz="4" w:space="0"/>
            </w:tcBorders>
            <w:vAlign w:val="center"/>
          </w:tcPr>
          <w:p w14:paraId="2A5BBE86">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08DCF7B8">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71DBC012">
            <w:pPr>
              <w:snapToGrid w:val="0"/>
              <w:spacing w:line="460" w:lineRule="exact"/>
              <w:jc w:val="center"/>
              <w:rPr>
                <w:rFonts w:ascii="宋体" w:hAnsi="宋体" w:cs="宋体"/>
                <w:color w:val="auto"/>
                <w:kern w:val="0"/>
                <w:highlight w:val="none"/>
              </w:rPr>
            </w:pPr>
            <w:r>
              <w:rPr>
                <w:rFonts w:hint="eastAsia" w:ascii="宋体" w:hAnsi="宋体"/>
                <w:color w:val="auto"/>
                <w:highlight w:val="none"/>
              </w:rPr>
              <w:t>施工方案与技术措施</w:t>
            </w:r>
          </w:p>
        </w:tc>
        <w:tc>
          <w:tcPr>
            <w:tcW w:w="5385" w:type="dxa"/>
            <w:tcBorders>
              <w:top w:val="single" w:color="auto" w:sz="4" w:space="0"/>
              <w:left w:val="single" w:color="auto" w:sz="4" w:space="0"/>
              <w:bottom w:val="single" w:color="auto" w:sz="4" w:space="0"/>
              <w:right w:val="single" w:color="auto" w:sz="4" w:space="0"/>
            </w:tcBorders>
            <w:vAlign w:val="center"/>
          </w:tcPr>
          <w:p w14:paraId="4F4ECA4E">
            <w:pPr>
              <w:snapToGrid w:val="0"/>
              <w:spacing w:line="460" w:lineRule="exact"/>
              <w:jc w:val="left"/>
              <w:rPr>
                <w:rFonts w:ascii="宋体" w:hAnsi="宋体"/>
                <w:color w:val="auto"/>
                <w:highlight w:val="none"/>
              </w:rPr>
            </w:pPr>
            <w:r>
              <w:rPr>
                <w:rFonts w:hint="eastAsia" w:ascii="宋体" w:hAnsi="宋体"/>
                <w:color w:val="auto"/>
                <w:highlight w:val="none"/>
              </w:rPr>
              <w:t>施工方案与技术措施（0-8分）：对工程认识深刻、表述全面准确，施工方案科学、系统、安全、经济，可操作性强，保障措施得力，对施工关键技术、工艺把握准确，应用到位，阐释清晰。</w:t>
            </w:r>
          </w:p>
          <w:p w14:paraId="717A7EC6">
            <w:pPr>
              <w:spacing w:line="460" w:lineRule="exact"/>
              <w:rPr>
                <w:color w:val="auto"/>
                <w:highlight w:val="none"/>
              </w:rPr>
            </w:pPr>
            <w:r>
              <w:rPr>
                <w:rFonts w:hint="eastAsia" w:ascii="宋体" w:hAnsi="宋体"/>
                <w:color w:val="auto"/>
                <w:highlight w:val="none"/>
              </w:rPr>
              <w:t>优秀得5-8分，一般的0-5分，差或未提供得0分。</w:t>
            </w:r>
          </w:p>
        </w:tc>
      </w:tr>
      <w:tr w14:paraId="748C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8" w:type="dxa"/>
            <w:vMerge w:val="continue"/>
            <w:tcBorders>
              <w:left w:val="single" w:color="auto" w:sz="4" w:space="0"/>
              <w:right w:val="single" w:color="auto" w:sz="4" w:space="0"/>
            </w:tcBorders>
            <w:vAlign w:val="center"/>
          </w:tcPr>
          <w:p w14:paraId="57FDAF63">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6100A3BF">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14AD9E8B">
            <w:pPr>
              <w:snapToGrid w:val="0"/>
              <w:spacing w:line="460" w:lineRule="exact"/>
              <w:jc w:val="center"/>
              <w:rPr>
                <w:rFonts w:ascii="宋体" w:hAnsi="宋体" w:cs="宋体"/>
                <w:color w:val="auto"/>
                <w:kern w:val="0"/>
                <w:highlight w:val="none"/>
              </w:rPr>
            </w:pPr>
            <w:r>
              <w:rPr>
                <w:rFonts w:hint="eastAsia" w:ascii="宋体" w:hAnsi="宋体"/>
                <w:color w:val="auto"/>
                <w:highlight w:val="none"/>
              </w:rPr>
              <w:t>质量管理体系与措施</w:t>
            </w:r>
          </w:p>
        </w:tc>
        <w:tc>
          <w:tcPr>
            <w:tcW w:w="5385" w:type="dxa"/>
            <w:tcBorders>
              <w:top w:val="single" w:color="auto" w:sz="4" w:space="0"/>
              <w:left w:val="single" w:color="auto" w:sz="4" w:space="0"/>
              <w:bottom w:val="single" w:color="auto" w:sz="4" w:space="0"/>
              <w:right w:val="single" w:color="auto" w:sz="4" w:space="0"/>
            </w:tcBorders>
            <w:vAlign w:val="center"/>
          </w:tcPr>
          <w:p w14:paraId="2EE983AB">
            <w:pPr>
              <w:snapToGrid w:val="0"/>
              <w:spacing w:line="460" w:lineRule="exact"/>
              <w:jc w:val="left"/>
              <w:rPr>
                <w:rFonts w:ascii="宋体" w:hAnsi="宋体"/>
                <w:color w:val="auto"/>
                <w:highlight w:val="none"/>
              </w:rPr>
            </w:pPr>
            <w:r>
              <w:rPr>
                <w:rFonts w:hint="eastAsia" w:ascii="宋体" w:hAnsi="宋体"/>
                <w:color w:val="auto"/>
                <w:highlight w:val="none"/>
              </w:rPr>
              <w:t>质量管理体系与措施（0-3分）：质量管理体系完善、健全，工程质量保证计划全面细致、结合实际、措施具体，责任到人。</w:t>
            </w:r>
          </w:p>
          <w:p w14:paraId="4FE23703">
            <w:pPr>
              <w:spacing w:line="460" w:lineRule="exact"/>
              <w:rPr>
                <w:color w:val="auto"/>
                <w:highlight w:val="none"/>
              </w:rPr>
            </w:pPr>
            <w:r>
              <w:rPr>
                <w:rFonts w:hint="eastAsia" w:ascii="宋体" w:hAnsi="宋体"/>
                <w:color w:val="auto"/>
                <w:highlight w:val="none"/>
              </w:rPr>
              <w:t>优秀得2-3分，一般的0-2分，差或未提供得0分。</w:t>
            </w:r>
          </w:p>
        </w:tc>
      </w:tr>
      <w:tr w14:paraId="26D8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8" w:type="dxa"/>
            <w:vMerge w:val="continue"/>
            <w:tcBorders>
              <w:left w:val="single" w:color="auto" w:sz="4" w:space="0"/>
              <w:right w:val="single" w:color="auto" w:sz="4" w:space="0"/>
            </w:tcBorders>
            <w:vAlign w:val="center"/>
          </w:tcPr>
          <w:p w14:paraId="1FE736EC">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73BDF6BE">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14EFBA59">
            <w:pPr>
              <w:snapToGrid w:val="0"/>
              <w:spacing w:line="460" w:lineRule="exact"/>
              <w:jc w:val="center"/>
              <w:rPr>
                <w:rFonts w:ascii="宋体" w:hAnsi="宋体" w:cs="宋体"/>
                <w:color w:val="auto"/>
                <w:kern w:val="0"/>
                <w:highlight w:val="none"/>
              </w:rPr>
            </w:pPr>
            <w:r>
              <w:rPr>
                <w:rFonts w:hint="eastAsia" w:ascii="宋体" w:hAnsi="宋体"/>
                <w:color w:val="auto"/>
                <w:highlight w:val="none"/>
              </w:rPr>
              <w:t>安全管理体系与措施</w:t>
            </w:r>
          </w:p>
        </w:tc>
        <w:tc>
          <w:tcPr>
            <w:tcW w:w="5385" w:type="dxa"/>
            <w:tcBorders>
              <w:top w:val="single" w:color="auto" w:sz="4" w:space="0"/>
              <w:left w:val="single" w:color="auto" w:sz="4" w:space="0"/>
              <w:bottom w:val="single" w:color="auto" w:sz="4" w:space="0"/>
              <w:right w:val="single" w:color="auto" w:sz="4" w:space="0"/>
            </w:tcBorders>
            <w:vAlign w:val="center"/>
          </w:tcPr>
          <w:p w14:paraId="47B2B4CF">
            <w:pPr>
              <w:snapToGrid w:val="0"/>
              <w:spacing w:line="460" w:lineRule="exact"/>
              <w:jc w:val="left"/>
              <w:rPr>
                <w:rFonts w:ascii="宋体" w:hAnsi="宋体"/>
                <w:color w:val="auto"/>
                <w:highlight w:val="none"/>
              </w:rPr>
            </w:pPr>
            <w:r>
              <w:rPr>
                <w:rFonts w:hint="eastAsia" w:ascii="宋体" w:hAnsi="宋体"/>
                <w:color w:val="auto"/>
                <w:highlight w:val="none"/>
              </w:rPr>
              <w:t>安全管理体系与措施（0-3分）：安全管理体系与措施完善、健全，根据实际情况制定安全文明施工保证计划全面周到、完整，关键地点、工序、环节控制保障措施得力，责任措施具体。</w:t>
            </w:r>
          </w:p>
          <w:p w14:paraId="1C1D545C">
            <w:pPr>
              <w:spacing w:line="460" w:lineRule="exact"/>
              <w:rPr>
                <w:color w:val="auto"/>
                <w:highlight w:val="none"/>
              </w:rPr>
            </w:pPr>
            <w:r>
              <w:rPr>
                <w:rFonts w:hint="eastAsia" w:ascii="宋体" w:hAnsi="宋体"/>
                <w:color w:val="auto"/>
                <w:highlight w:val="none"/>
              </w:rPr>
              <w:t>优秀得2-3分，一般的0-2分，差或未提供得0分。</w:t>
            </w:r>
          </w:p>
        </w:tc>
      </w:tr>
      <w:tr w14:paraId="1AE6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8" w:type="dxa"/>
            <w:vMerge w:val="continue"/>
            <w:tcBorders>
              <w:left w:val="single" w:color="auto" w:sz="4" w:space="0"/>
              <w:right w:val="single" w:color="auto" w:sz="4" w:space="0"/>
            </w:tcBorders>
            <w:vAlign w:val="center"/>
          </w:tcPr>
          <w:p w14:paraId="034EB5CF">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47FF4464">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C5DF565">
            <w:pPr>
              <w:snapToGrid w:val="0"/>
              <w:spacing w:line="460" w:lineRule="exact"/>
              <w:jc w:val="center"/>
              <w:rPr>
                <w:rFonts w:ascii="宋体" w:hAnsi="宋体" w:cs="宋体"/>
                <w:color w:val="auto"/>
                <w:kern w:val="0"/>
                <w:highlight w:val="none"/>
              </w:rPr>
            </w:pPr>
            <w:r>
              <w:rPr>
                <w:rFonts w:hint="eastAsia" w:ascii="宋体" w:hAnsi="宋体"/>
                <w:color w:val="auto"/>
                <w:highlight w:val="none"/>
              </w:rPr>
              <w:t>工程进度计划与措施</w:t>
            </w:r>
          </w:p>
        </w:tc>
        <w:tc>
          <w:tcPr>
            <w:tcW w:w="5385" w:type="dxa"/>
            <w:tcBorders>
              <w:top w:val="single" w:color="auto" w:sz="4" w:space="0"/>
              <w:left w:val="single" w:color="auto" w:sz="4" w:space="0"/>
              <w:bottom w:val="single" w:color="auto" w:sz="4" w:space="0"/>
              <w:right w:val="single" w:color="auto" w:sz="4" w:space="0"/>
            </w:tcBorders>
            <w:vAlign w:val="center"/>
          </w:tcPr>
          <w:p w14:paraId="3E2C57B7">
            <w:pPr>
              <w:spacing w:line="460" w:lineRule="exact"/>
              <w:rPr>
                <w:rFonts w:ascii="宋体" w:hAnsi="宋体"/>
                <w:color w:val="auto"/>
                <w:highlight w:val="none"/>
              </w:rPr>
            </w:pPr>
            <w:r>
              <w:rPr>
                <w:rFonts w:hint="eastAsia" w:ascii="宋体" w:hAnsi="宋体"/>
                <w:color w:val="auto"/>
                <w:highlight w:val="none"/>
              </w:rPr>
              <w:t>工程进度计划与措施（0-6分）：施工进度计划编制合理、可行，关键线路清晰、准确、完整，关键节点控制措施得力、可操作性强，保证措施可靠。</w:t>
            </w:r>
          </w:p>
          <w:p w14:paraId="281CDF04">
            <w:pPr>
              <w:snapToGrid w:val="0"/>
              <w:spacing w:line="460" w:lineRule="exact"/>
              <w:jc w:val="left"/>
              <w:rPr>
                <w:rFonts w:ascii="宋体" w:hAnsi="宋体"/>
                <w:color w:val="auto"/>
                <w:highlight w:val="none"/>
              </w:rPr>
            </w:pPr>
            <w:r>
              <w:rPr>
                <w:rFonts w:hint="eastAsia" w:ascii="宋体" w:hAnsi="宋体"/>
                <w:color w:val="auto"/>
                <w:highlight w:val="none"/>
              </w:rPr>
              <w:t>优秀得3-6分，一般的0-3分，差或未提供得0分。</w:t>
            </w:r>
          </w:p>
        </w:tc>
      </w:tr>
      <w:tr w14:paraId="1927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8" w:type="dxa"/>
            <w:vMerge w:val="continue"/>
            <w:tcBorders>
              <w:left w:val="single" w:color="auto" w:sz="4" w:space="0"/>
              <w:right w:val="single" w:color="auto" w:sz="4" w:space="0"/>
            </w:tcBorders>
            <w:vAlign w:val="center"/>
          </w:tcPr>
          <w:p w14:paraId="1BA05FDE">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6C05DC76">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D15E125">
            <w:pPr>
              <w:snapToGrid w:val="0"/>
              <w:spacing w:line="460" w:lineRule="exact"/>
              <w:jc w:val="center"/>
              <w:rPr>
                <w:rFonts w:ascii="宋体" w:hAnsi="宋体" w:cs="宋体"/>
                <w:color w:val="auto"/>
                <w:kern w:val="0"/>
                <w:highlight w:val="none"/>
              </w:rPr>
            </w:pPr>
            <w:r>
              <w:rPr>
                <w:rFonts w:hint="eastAsia" w:ascii="宋体" w:hAnsi="宋体"/>
                <w:color w:val="auto"/>
                <w:highlight w:val="none"/>
              </w:rPr>
              <w:t>环境保护管理体系措施</w:t>
            </w:r>
          </w:p>
        </w:tc>
        <w:tc>
          <w:tcPr>
            <w:tcW w:w="5385" w:type="dxa"/>
            <w:tcBorders>
              <w:top w:val="single" w:color="auto" w:sz="4" w:space="0"/>
              <w:left w:val="single" w:color="auto" w:sz="4" w:space="0"/>
              <w:bottom w:val="single" w:color="auto" w:sz="4" w:space="0"/>
              <w:right w:val="single" w:color="auto" w:sz="4" w:space="0"/>
            </w:tcBorders>
            <w:vAlign w:val="center"/>
          </w:tcPr>
          <w:p w14:paraId="5AD08B52">
            <w:pPr>
              <w:snapToGrid w:val="0"/>
              <w:spacing w:line="460" w:lineRule="exact"/>
              <w:jc w:val="left"/>
              <w:rPr>
                <w:rFonts w:ascii="宋体" w:hAnsi="宋体"/>
                <w:color w:val="auto"/>
                <w:highlight w:val="none"/>
              </w:rPr>
            </w:pPr>
            <w:r>
              <w:rPr>
                <w:rFonts w:hint="eastAsia" w:ascii="宋体" w:hAnsi="宋体"/>
                <w:color w:val="auto"/>
                <w:highlight w:val="none"/>
              </w:rPr>
              <w:t>环境保护管理体系措施（0-3分）：环境保护管理体系措施完善、健全，根据实际情况制定环境保护管理体系，保证计划全面周到、完整，关键地点、工序、环节控制保障措施得力，责任措施具体。</w:t>
            </w:r>
          </w:p>
          <w:p w14:paraId="67F128D6">
            <w:pPr>
              <w:spacing w:line="460" w:lineRule="exact"/>
              <w:rPr>
                <w:color w:val="auto"/>
                <w:highlight w:val="none"/>
              </w:rPr>
            </w:pPr>
            <w:r>
              <w:rPr>
                <w:rFonts w:hint="eastAsia" w:ascii="宋体" w:hAnsi="宋体"/>
                <w:color w:val="auto"/>
                <w:highlight w:val="none"/>
              </w:rPr>
              <w:t>优秀得2-3分，一般的0-2分，差或未提供得0分。</w:t>
            </w:r>
          </w:p>
        </w:tc>
      </w:tr>
      <w:tr w14:paraId="1A68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8" w:type="dxa"/>
            <w:vMerge w:val="continue"/>
            <w:tcBorders>
              <w:left w:val="single" w:color="auto" w:sz="4" w:space="0"/>
              <w:bottom w:val="single" w:color="auto" w:sz="4" w:space="0"/>
              <w:right w:val="single" w:color="auto" w:sz="4" w:space="0"/>
            </w:tcBorders>
            <w:vAlign w:val="center"/>
          </w:tcPr>
          <w:p w14:paraId="7B5DDA5A">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bottom w:val="single" w:color="auto" w:sz="4" w:space="0"/>
              <w:right w:val="single" w:color="auto" w:sz="4" w:space="0"/>
            </w:tcBorders>
            <w:vAlign w:val="center"/>
          </w:tcPr>
          <w:p w14:paraId="1CF49EFA">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5A069AB">
            <w:pPr>
              <w:snapToGrid w:val="0"/>
              <w:spacing w:line="460" w:lineRule="exact"/>
              <w:jc w:val="center"/>
              <w:rPr>
                <w:rFonts w:ascii="宋体" w:hAnsi="宋体" w:cs="宋体"/>
                <w:color w:val="auto"/>
                <w:kern w:val="0"/>
                <w:highlight w:val="none"/>
              </w:rPr>
            </w:pPr>
            <w:r>
              <w:rPr>
                <w:rFonts w:hint="eastAsia" w:ascii="宋体" w:hAnsi="宋体"/>
                <w:color w:val="auto"/>
                <w:highlight w:val="none"/>
              </w:rPr>
              <w:t>资源配备计划与先进性</w:t>
            </w:r>
          </w:p>
        </w:tc>
        <w:tc>
          <w:tcPr>
            <w:tcW w:w="5385" w:type="dxa"/>
            <w:tcBorders>
              <w:top w:val="single" w:color="auto" w:sz="4" w:space="0"/>
              <w:left w:val="single" w:color="auto" w:sz="4" w:space="0"/>
              <w:bottom w:val="single" w:color="auto" w:sz="4" w:space="0"/>
              <w:right w:val="single" w:color="auto" w:sz="4" w:space="0"/>
            </w:tcBorders>
            <w:vAlign w:val="center"/>
          </w:tcPr>
          <w:p w14:paraId="58A93E01">
            <w:pPr>
              <w:snapToGrid w:val="0"/>
              <w:spacing w:line="460" w:lineRule="exact"/>
              <w:jc w:val="left"/>
              <w:rPr>
                <w:rFonts w:ascii="宋体" w:hAnsi="宋体"/>
                <w:color w:val="auto"/>
                <w:highlight w:val="none"/>
              </w:rPr>
            </w:pPr>
            <w:r>
              <w:rPr>
                <w:rFonts w:hint="eastAsia" w:ascii="宋体" w:hAnsi="宋体"/>
                <w:color w:val="auto"/>
                <w:highlight w:val="none"/>
              </w:rPr>
              <w:t>资源配备计划与先进性（0-3分）：机械设备、劳动力投入能满足施工需要，投入人员、计划与进度计划协调，调配计划合理，保证措施具体。</w:t>
            </w:r>
          </w:p>
          <w:p w14:paraId="39424E53">
            <w:pPr>
              <w:spacing w:line="460" w:lineRule="exact"/>
              <w:rPr>
                <w:color w:val="auto"/>
                <w:highlight w:val="none"/>
              </w:rPr>
            </w:pPr>
            <w:r>
              <w:rPr>
                <w:rFonts w:hint="eastAsia" w:ascii="宋体" w:hAnsi="宋体"/>
                <w:color w:val="auto"/>
                <w:highlight w:val="none"/>
              </w:rPr>
              <w:t>优秀得2-3分，一般的0-2分，差或未提供得0分。</w:t>
            </w:r>
          </w:p>
        </w:tc>
      </w:tr>
      <w:tr w14:paraId="395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28" w:type="dxa"/>
            <w:tcBorders>
              <w:top w:val="single" w:color="auto" w:sz="4" w:space="0"/>
              <w:left w:val="single" w:color="auto" w:sz="4" w:space="0"/>
              <w:bottom w:val="single" w:color="auto" w:sz="4" w:space="0"/>
              <w:right w:val="single" w:color="auto" w:sz="4" w:space="0"/>
            </w:tcBorders>
            <w:vAlign w:val="center"/>
          </w:tcPr>
          <w:p w14:paraId="7299959F">
            <w:pPr>
              <w:spacing w:line="460" w:lineRule="exact"/>
              <w:jc w:val="left"/>
              <w:rPr>
                <w:rFonts w:ascii="宋体" w:hAnsi="宋体" w:cs="宋体"/>
                <w:color w:val="auto"/>
                <w:kern w:val="0"/>
                <w:highlight w:val="none"/>
              </w:rPr>
            </w:pPr>
            <w:r>
              <w:rPr>
                <w:rFonts w:hint="eastAsia" w:ascii="宋体" w:hAnsi="宋体" w:cs="宋体"/>
                <w:color w:val="auto"/>
                <w:kern w:val="0"/>
                <w:highlight w:val="none"/>
              </w:rPr>
              <w:t>3</w:t>
            </w:r>
          </w:p>
        </w:tc>
        <w:tc>
          <w:tcPr>
            <w:tcW w:w="1001" w:type="dxa"/>
            <w:tcBorders>
              <w:top w:val="single" w:color="auto" w:sz="4" w:space="0"/>
              <w:left w:val="single" w:color="auto" w:sz="4" w:space="0"/>
              <w:bottom w:val="single" w:color="auto" w:sz="4" w:space="0"/>
              <w:right w:val="single" w:color="auto" w:sz="4" w:space="0"/>
            </w:tcBorders>
            <w:vAlign w:val="center"/>
          </w:tcPr>
          <w:p w14:paraId="0D36BC33">
            <w:pPr>
              <w:spacing w:line="460" w:lineRule="exact"/>
              <w:jc w:val="center"/>
              <w:rPr>
                <w:rFonts w:ascii="宋体" w:hAnsi="宋体" w:cs="宋体"/>
                <w:color w:val="auto"/>
                <w:kern w:val="0"/>
                <w:highlight w:val="none"/>
              </w:rPr>
            </w:pPr>
            <w:r>
              <w:rPr>
                <w:rFonts w:hint="eastAsia" w:ascii="宋体" w:hAnsi="宋体"/>
                <w:color w:val="auto"/>
                <w:highlight w:val="none"/>
              </w:rPr>
              <w:t>评标程序</w:t>
            </w:r>
          </w:p>
        </w:tc>
        <w:tc>
          <w:tcPr>
            <w:tcW w:w="7854" w:type="dxa"/>
            <w:gridSpan w:val="3"/>
            <w:tcBorders>
              <w:top w:val="single" w:color="auto" w:sz="4" w:space="0"/>
              <w:left w:val="single" w:color="auto" w:sz="4" w:space="0"/>
              <w:bottom w:val="single" w:color="auto" w:sz="4" w:space="0"/>
              <w:right w:val="single" w:color="auto" w:sz="4" w:space="0"/>
            </w:tcBorders>
          </w:tcPr>
          <w:p w14:paraId="318FE6B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1.按本章评标办法第3.1款进行初步评审。未通过初步评审或评标委员会认定为无效的比选申请文件的不再进行后续评审。</w:t>
            </w:r>
          </w:p>
          <w:p w14:paraId="6F863CC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2.按本章评标办法前附表第2.2.2项及第3.2.1（2）目的规定对技术部分进行评审。</w:t>
            </w:r>
          </w:p>
          <w:p w14:paraId="00EBDCB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3.对初步评审合格的比选申请人按照本章第2.2.3项计算方法计算评标基准价，并按本附表第3.2.1（1）目规定的评分方法对比选申请总报价进行评分。</w:t>
            </w:r>
          </w:p>
          <w:p w14:paraId="0013EC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4.对技术部分、比选申请总报价得分进行汇总，确定得分由高至低前三名比选申请人为中选候选人。</w:t>
            </w:r>
          </w:p>
          <w:p w14:paraId="69B60A4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因评标委员会作否决投标处理导致有效比选申请人不足三个的，评标委员会应当否决所有投标。但是有效比选申请人的经济、技术等指标仍然具有市场竞争力，能够满足比选文件要求的，评标委员会可以继续评标并确定中选候选人。</w:t>
            </w:r>
          </w:p>
        </w:tc>
      </w:tr>
      <w:tr w14:paraId="5291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top w:val="single" w:color="auto" w:sz="4" w:space="0"/>
              <w:left w:val="single" w:color="auto" w:sz="4" w:space="0"/>
              <w:right w:val="single" w:color="auto" w:sz="4" w:space="0"/>
            </w:tcBorders>
            <w:vAlign w:val="center"/>
          </w:tcPr>
          <w:p w14:paraId="4746F57A">
            <w:pPr>
              <w:spacing w:line="460" w:lineRule="exact"/>
              <w:jc w:val="center"/>
              <w:rPr>
                <w:rFonts w:ascii="宋体" w:hAnsi="宋体"/>
                <w:b/>
                <w:color w:val="auto"/>
                <w:highlight w:val="none"/>
              </w:rPr>
            </w:pPr>
            <w:r>
              <w:rPr>
                <w:rFonts w:hint="eastAsia" w:ascii="宋体" w:hAnsi="宋体"/>
                <w:color w:val="auto"/>
                <w:highlight w:val="none"/>
              </w:rPr>
              <w:t>3.2.1（1）</w:t>
            </w:r>
          </w:p>
        </w:tc>
        <w:tc>
          <w:tcPr>
            <w:tcW w:w="1001" w:type="dxa"/>
            <w:tcBorders>
              <w:top w:val="single" w:color="auto" w:sz="4" w:space="0"/>
              <w:left w:val="single" w:color="auto" w:sz="4" w:space="0"/>
              <w:right w:val="single" w:color="auto" w:sz="4" w:space="0"/>
            </w:tcBorders>
            <w:vAlign w:val="center"/>
          </w:tcPr>
          <w:p w14:paraId="0B0E7F92">
            <w:pPr>
              <w:spacing w:line="460" w:lineRule="exact"/>
              <w:jc w:val="center"/>
              <w:rPr>
                <w:rFonts w:ascii="宋体" w:hAnsi="宋体"/>
                <w:b/>
                <w:color w:val="auto"/>
                <w:highlight w:val="none"/>
              </w:rPr>
            </w:pPr>
            <w:r>
              <w:rPr>
                <w:rFonts w:hint="eastAsia" w:ascii="宋体" w:hAnsi="宋体" w:cs="宋体"/>
                <w:color w:val="auto"/>
                <w:kern w:val="0"/>
                <w:highlight w:val="none"/>
              </w:rPr>
              <w:t>比选申请</w:t>
            </w:r>
            <w:r>
              <w:rPr>
                <w:rFonts w:hint="eastAsia" w:ascii="宋体" w:hAnsi="宋体"/>
                <w:color w:val="auto"/>
                <w:highlight w:val="none"/>
              </w:rPr>
              <w:t>报价</w:t>
            </w:r>
            <w:r>
              <w:rPr>
                <w:rFonts w:hint="eastAsia" w:ascii="宋体" w:hAnsi="宋体" w:cs="宋体"/>
                <w:color w:val="auto"/>
                <w:kern w:val="0"/>
                <w:highlight w:val="none"/>
              </w:rPr>
              <w:t>得分</w:t>
            </w:r>
            <w:r>
              <w:rPr>
                <w:rFonts w:hint="eastAsia" w:ascii="宋体" w:hAnsi="宋体"/>
                <w:color w:val="auto"/>
                <w:highlight w:val="none"/>
              </w:rPr>
              <w:t>（A）</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3B6C1494">
            <w:pPr>
              <w:spacing w:line="460" w:lineRule="exact"/>
              <w:jc w:val="center"/>
              <w:rPr>
                <w:rFonts w:ascii="宋体" w:hAnsi="宋体"/>
                <w:b/>
                <w:color w:val="auto"/>
                <w:highlight w:val="none"/>
              </w:rPr>
            </w:pPr>
            <w:r>
              <w:rPr>
                <w:rFonts w:hint="eastAsia" w:ascii="宋体" w:hAnsi="宋体"/>
                <w:color w:val="auto"/>
                <w:highlight w:val="none"/>
              </w:rPr>
              <w:t>比选申请总报价</w:t>
            </w:r>
          </w:p>
        </w:tc>
        <w:tc>
          <w:tcPr>
            <w:tcW w:w="5385" w:type="dxa"/>
            <w:tcBorders>
              <w:top w:val="single" w:color="auto" w:sz="4" w:space="0"/>
              <w:left w:val="single" w:color="auto" w:sz="4" w:space="0"/>
              <w:bottom w:val="single" w:color="auto" w:sz="4" w:space="0"/>
              <w:right w:val="single" w:color="auto" w:sz="4" w:space="0"/>
            </w:tcBorders>
            <w:vAlign w:val="center"/>
          </w:tcPr>
          <w:p w14:paraId="63543691">
            <w:pPr>
              <w:spacing w:line="460" w:lineRule="exact"/>
              <w:rPr>
                <w:rFonts w:ascii="宋体" w:hAnsi="宋体"/>
                <w:color w:val="auto"/>
                <w:szCs w:val="21"/>
                <w:highlight w:val="none"/>
              </w:rPr>
            </w:pPr>
            <w:r>
              <w:rPr>
                <w:rFonts w:hint="eastAsia" w:ascii="宋体" w:hAnsi="宋体" w:cs="宋体"/>
                <w:color w:val="auto"/>
                <w:kern w:val="0"/>
                <w:highlight w:val="none"/>
              </w:rPr>
              <w:t>比选申请</w:t>
            </w:r>
            <w:r>
              <w:rPr>
                <w:rFonts w:hint="eastAsia" w:ascii="宋体" w:hAnsi="宋体" w:cs="宋体"/>
                <w:color w:val="auto"/>
                <w:kern w:val="0"/>
                <w:szCs w:val="21"/>
                <w:highlight w:val="none"/>
              </w:rPr>
              <w:t>总报价在限价范围内的，得本附表2.2.1规定分值的满分 70 分。在此基础上，</w:t>
            </w:r>
            <w:r>
              <w:rPr>
                <w:rFonts w:hint="eastAsia" w:ascii="宋体" w:hAnsi="宋体" w:cs="宋体"/>
                <w:color w:val="auto"/>
                <w:kern w:val="0"/>
                <w:highlight w:val="none"/>
              </w:rPr>
              <w:t>比选申请</w:t>
            </w:r>
            <w:r>
              <w:rPr>
                <w:rFonts w:hint="eastAsia" w:ascii="宋体" w:hAnsi="宋体" w:cs="宋体"/>
                <w:color w:val="auto"/>
                <w:kern w:val="0"/>
                <w:szCs w:val="21"/>
                <w:highlight w:val="none"/>
              </w:rPr>
              <w:t>总报价与评标基准价相比，每增加1％扣1分，每减少1％扣0.5分，扣完为止。按插入法计算得分。以上计算取小数点后两位，第三位四舍五入。</w:t>
            </w:r>
          </w:p>
        </w:tc>
      </w:tr>
      <w:tr w14:paraId="087F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restart"/>
            <w:tcBorders>
              <w:top w:val="single" w:color="auto" w:sz="4" w:space="0"/>
              <w:left w:val="single" w:color="auto" w:sz="4" w:space="0"/>
              <w:right w:val="single" w:color="auto" w:sz="4" w:space="0"/>
            </w:tcBorders>
            <w:vAlign w:val="center"/>
          </w:tcPr>
          <w:p w14:paraId="1B1E777C">
            <w:pPr>
              <w:spacing w:line="460" w:lineRule="exact"/>
              <w:jc w:val="center"/>
              <w:rPr>
                <w:rFonts w:ascii="宋体" w:hAnsi="宋体"/>
                <w:color w:val="auto"/>
                <w:highlight w:val="none"/>
              </w:rPr>
            </w:pPr>
            <w:r>
              <w:rPr>
                <w:rFonts w:hint="eastAsia" w:ascii="宋体" w:hAnsi="宋体"/>
                <w:color w:val="auto"/>
                <w:highlight w:val="none"/>
              </w:rPr>
              <w:t>3.2.1</w:t>
            </w:r>
          </w:p>
          <w:p w14:paraId="5FB4A2DB">
            <w:pPr>
              <w:widowControl/>
              <w:spacing w:line="460" w:lineRule="exact"/>
              <w:jc w:val="left"/>
              <w:rPr>
                <w:rFonts w:ascii="宋体" w:hAnsi="宋体" w:cs="宋体"/>
                <w:color w:val="auto"/>
                <w:kern w:val="0"/>
                <w:szCs w:val="21"/>
                <w:highlight w:val="none"/>
              </w:rPr>
            </w:pPr>
            <w:r>
              <w:rPr>
                <w:rFonts w:hint="eastAsia" w:ascii="宋体" w:hAnsi="宋体"/>
                <w:color w:val="auto"/>
                <w:highlight w:val="none"/>
              </w:rPr>
              <w:t>(2)</w:t>
            </w:r>
          </w:p>
        </w:tc>
        <w:tc>
          <w:tcPr>
            <w:tcW w:w="1001" w:type="dxa"/>
            <w:vMerge w:val="restart"/>
            <w:tcBorders>
              <w:top w:val="single" w:color="auto" w:sz="4" w:space="0"/>
              <w:left w:val="single" w:color="auto" w:sz="4" w:space="0"/>
              <w:right w:val="single" w:color="auto" w:sz="4" w:space="0"/>
            </w:tcBorders>
            <w:vAlign w:val="center"/>
          </w:tcPr>
          <w:p w14:paraId="7D3A0383">
            <w:pPr>
              <w:widowControl/>
              <w:spacing w:line="460" w:lineRule="exact"/>
              <w:jc w:val="left"/>
              <w:rPr>
                <w:rFonts w:ascii="宋体" w:hAnsi="宋体" w:cs="宋体"/>
                <w:color w:val="auto"/>
                <w:kern w:val="0"/>
                <w:highlight w:val="none"/>
              </w:rPr>
            </w:pPr>
            <w:r>
              <w:rPr>
                <w:rFonts w:hint="eastAsia" w:ascii="宋体" w:hAnsi="宋体" w:cs="宋体"/>
                <w:color w:val="auto"/>
                <w:kern w:val="0"/>
                <w:highlight w:val="none"/>
                <w:lang w:eastAsia="zh-CN"/>
              </w:rPr>
              <w:t>技术方案</w:t>
            </w:r>
            <w:r>
              <w:rPr>
                <w:rFonts w:hint="eastAsia" w:ascii="宋体" w:hAnsi="宋体" w:cs="宋体"/>
                <w:color w:val="auto"/>
                <w:kern w:val="0"/>
                <w:highlight w:val="none"/>
              </w:rPr>
              <w:t>得分(B)</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2776F692">
            <w:pPr>
              <w:snapToGrid w:val="0"/>
              <w:spacing w:line="460" w:lineRule="exact"/>
              <w:jc w:val="center"/>
              <w:rPr>
                <w:rFonts w:ascii="宋体" w:hAnsi="宋体" w:cs="宋体"/>
                <w:color w:val="auto"/>
                <w:kern w:val="0"/>
                <w:highlight w:val="none"/>
              </w:rPr>
            </w:pPr>
            <w:r>
              <w:rPr>
                <w:rFonts w:hint="eastAsia" w:ascii="宋体" w:hAnsi="宋体" w:cs="宋体"/>
                <w:color w:val="auto"/>
                <w:kern w:val="0"/>
                <w:highlight w:val="none"/>
                <w:lang w:eastAsia="zh-CN"/>
              </w:rPr>
              <w:t>技术方案</w:t>
            </w:r>
            <w:r>
              <w:rPr>
                <w:rFonts w:hint="eastAsia" w:ascii="宋体" w:hAnsi="宋体" w:cs="宋体"/>
                <w:color w:val="auto"/>
                <w:kern w:val="0"/>
                <w:highlight w:val="none"/>
              </w:rPr>
              <w:t>形式要求</w:t>
            </w:r>
          </w:p>
        </w:tc>
        <w:tc>
          <w:tcPr>
            <w:tcW w:w="5385" w:type="dxa"/>
            <w:tcBorders>
              <w:top w:val="single" w:color="auto" w:sz="4" w:space="0"/>
              <w:left w:val="single" w:color="auto" w:sz="4" w:space="0"/>
              <w:right w:val="single" w:color="auto" w:sz="4" w:space="0"/>
            </w:tcBorders>
            <w:vAlign w:val="center"/>
          </w:tcPr>
          <w:p w14:paraId="31A62604">
            <w:pPr>
              <w:spacing w:line="460" w:lineRule="exact"/>
              <w:ind w:firstLine="420" w:firstLineChars="200"/>
              <w:rPr>
                <w:rFonts w:ascii="宋体" w:hAnsi="宋体" w:cs="宋体"/>
                <w:color w:val="auto"/>
                <w:highlight w:val="none"/>
                <w:u w:val="single"/>
              </w:rPr>
            </w:pPr>
            <w:r>
              <w:rPr>
                <w:rFonts w:hint="eastAsia" w:ascii="宋体" w:hAnsi="宋体"/>
                <w:color w:val="auto"/>
                <w:szCs w:val="21"/>
                <w:highlight w:val="none"/>
              </w:rPr>
              <w:t>不符合第二章比选申请人须知前附表第3.7.5项（2）技术部分装订要求的，</w:t>
            </w:r>
            <w:r>
              <w:rPr>
                <w:rFonts w:hint="eastAsia" w:ascii="宋体" w:hAnsi="宋体"/>
                <w:color w:val="auto"/>
                <w:szCs w:val="21"/>
                <w:highlight w:val="none"/>
                <w:lang w:eastAsia="zh-CN"/>
              </w:rPr>
              <w:t>技术方案</w:t>
            </w:r>
            <w:r>
              <w:rPr>
                <w:rFonts w:hint="eastAsia" w:ascii="宋体" w:hAnsi="宋体"/>
                <w:color w:val="auto"/>
                <w:szCs w:val="21"/>
                <w:highlight w:val="none"/>
              </w:rPr>
              <w:t>得0分。</w:t>
            </w:r>
          </w:p>
        </w:tc>
      </w:tr>
      <w:tr w14:paraId="512A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tcBorders>
              <w:top w:val="single" w:color="auto" w:sz="4" w:space="0"/>
              <w:left w:val="single" w:color="auto" w:sz="4" w:space="0"/>
              <w:right w:val="single" w:color="auto" w:sz="4" w:space="0"/>
            </w:tcBorders>
            <w:vAlign w:val="center"/>
          </w:tcPr>
          <w:p w14:paraId="13127227">
            <w:pPr>
              <w:spacing w:line="460" w:lineRule="exact"/>
              <w:jc w:val="center"/>
              <w:rPr>
                <w:rFonts w:hint="eastAsia" w:ascii="宋体" w:hAnsi="宋体"/>
                <w:color w:val="auto"/>
                <w:highlight w:val="none"/>
              </w:rPr>
            </w:pPr>
          </w:p>
        </w:tc>
        <w:tc>
          <w:tcPr>
            <w:tcW w:w="1001" w:type="dxa"/>
            <w:vMerge w:val="continue"/>
            <w:tcBorders>
              <w:top w:val="single" w:color="auto" w:sz="4" w:space="0"/>
              <w:left w:val="single" w:color="auto" w:sz="4" w:space="0"/>
              <w:right w:val="single" w:color="auto" w:sz="4" w:space="0"/>
            </w:tcBorders>
            <w:vAlign w:val="center"/>
          </w:tcPr>
          <w:p w14:paraId="50F2134B">
            <w:pPr>
              <w:widowControl/>
              <w:spacing w:line="460" w:lineRule="exact"/>
              <w:jc w:val="left"/>
              <w:rPr>
                <w:rFonts w:hint="eastAsia"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7CCA071D">
            <w:pPr>
              <w:snapToGrid w:val="0"/>
              <w:spacing w:line="460" w:lineRule="exact"/>
              <w:jc w:val="center"/>
              <w:rPr>
                <w:rFonts w:hint="eastAsia" w:ascii="宋体" w:hAnsi="宋体" w:cs="宋体"/>
                <w:color w:val="auto"/>
                <w:kern w:val="0"/>
                <w:highlight w:val="none"/>
              </w:rPr>
            </w:pPr>
            <w:r>
              <w:rPr>
                <w:rFonts w:hint="eastAsia" w:ascii="宋体" w:hAnsi="宋体" w:cs="宋体"/>
                <w:color w:val="auto"/>
                <w:kern w:val="0"/>
                <w:highlight w:val="none"/>
              </w:rPr>
              <w:t>内容完整性和编制水平（</w:t>
            </w:r>
            <w:r>
              <w:rPr>
                <w:rFonts w:hint="eastAsia" w:ascii="宋体" w:hAnsi="宋体" w:cs="宋体"/>
                <w:color w:val="auto"/>
                <w:highlight w:val="none"/>
              </w:rPr>
              <w:t>4分</w:t>
            </w:r>
            <w:r>
              <w:rPr>
                <w:rFonts w:hint="eastAsia" w:ascii="宋体" w:hAnsi="宋体" w:cs="宋体"/>
                <w:color w:val="auto"/>
                <w:kern w:val="0"/>
                <w:highlight w:val="none"/>
              </w:rPr>
              <w:t>）</w:t>
            </w:r>
          </w:p>
        </w:tc>
        <w:tc>
          <w:tcPr>
            <w:tcW w:w="5385" w:type="dxa"/>
            <w:vMerge w:val="restart"/>
            <w:tcBorders>
              <w:top w:val="single" w:color="auto" w:sz="4" w:space="0"/>
              <w:left w:val="single" w:color="auto" w:sz="4" w:space="0"/>
              <w:right w:val="single" w:color="auto" w:sz="4" w:space="0"/>
            </w:tcBorders>
            <w:vAlign w:val="center"/>
          </w:tcPr>
          <w:p w14:paraId="2C7824B5">
            <w:pPr>
              <w:autoSpaceDE w:val="0"/>
              <w:autoSpaceDN w:val="0"/>
              <w:adjustRightInd w:val="0"/>
              <w:snapToGrid w:val="0"/>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评标委员会按2.2.4(2)项各评审因素设定的分值评分。</w:t>
            </w:r>
          </w:p>
          <w:p w14:paraId="389E3F1A">
            <w:pPr>
              <w:spacing w:line="460" w:lineRule="exact"/>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评标委员会全体成员对</w:t>
            </w:r>
            <w:r>
              <w:rPr>
                <w:rFonts w:hint="eastAsia" w:ascii="宋体" w:hAnsi="宋体" w:cs="MingLiU"/>
                <w:snapToGrid w:val="0"/>
                <w:color w:val="auto"/>
                <w:kern w:val="0"/>
                <w:szCs w:val="21"/>
                <w:highlight w:val="none"/>
                <w:lang w:eastAsia="zh-CN"/>
              </w:rPr>
              <w:t>技术方案</w:t>
            </w:r>
            <w:r>
              <w:rPr>
                <w:rFonts w:hint="eastAsia" w:ascii="宋体" w:hAnsi="宋体" w:cs="MingLiU"/>
                <w:snapToGrid w:val="0"/>
                <w:color w:val="auto"/>
                <w:kern w:val="0"/>
                <w:szCs w:val="21"/>
                <w:highlight w:val="none"/>
              </w:rPr>
              <w:t>进行评审，评委打分取算术平均值为该比选申请人</w:t>
            </w:r>
            <w:r>
              <w:rPr>
                <w:rFonts w:hint="eastAsia" w:ascii="宋体" w:hAnsi="宋体" w:cs="MingLiU"/>
                <w:snapToGrid w:val="0"/>
                <w:color w:val="auto"/>
                <w:kern w:val="0"/>
                <w:szCs w:val="21"/>
                <w:highlight w:val="none"/>
                <w:lang w:eastAsia="zh-CN"/>
              </w:rPr>
              <w:t>技术方案</w:t>
            </w:r>
            <w:r>
              <w:rPr>
                <w:rFonts w:hint="eastAsia" w:ascii="宋体" w:hAnsi="宋体" w:cs="MingLiU"/>
                <w:snapToGrid w:val="0"/>
                <w:color w:val="auto"/>
                <w:kern w:val="0"/>
                <w:szCs w:val="21"/>
                <w:highlight w:val="none"/>
              </w:rPr>
              <w:t>得分。</w:t>
            </w:r>
          </w:p>
          <w:p w14:paraId="66ED4E80">
            <w:pPr>
              <w:snapToGrid w:val="0"/>
              <w:spacing w:line="460" w:lineRule="exact"/>
              <w:jc w:val="center"/>
              <w:rPr>
                <w:rFonts w:hint="eastAsia" w:ascii="宋体" w:hAnsi="宋体"/>
                <w:color w:val="auto"/>
                <w:szCs w:val="21"/>
                <w:highlight w:val="none"/>
              </w:rPr>
            </w:pPr>
            <w:r>
              <w:rPr>
                <w:rFonts w:hint="eastAsia" w:ascii="宋体" w:hAnsi="宋体" w:cs="宋体"/>
                <w:color w:val="auto"/>
                <w:kern w:val="0"/>
                <w:szCs w:val="21"/>
                <w:highlight w:val="none"/>
              </w:rPr>
              <w:t>以上计算取小数点后两位，第三位四舍五入。</w:t>
            </w:r>
          </w:p>
        </w:tc>
      </w:tr>
      <w:tr w14:paraId="6A06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tcBorders>
              <w:top w:val="single" w:color="auto" w:sz="4" w:space="0"/>
              <w:left w:val="single" w:color="auto" w:sz="4" w:space="0"/>
              <w:right w:val="single" w:color="auto" w:sz="4" w:space="0"/>
            </w:tcBorders>
            <w:vAlign w:val="center"/>
          </w:tcPr>
          <w:p w14:paraId="09167978">
            <w:pPr>
              <w:spacing w:line="460" w:lineRule="exact"/>
              <w:jc w:val="center"/>
              <w:rPr>
                <w:rFonts w:ascii="宋体" w:hAnsi="宋体"/>
                <w:color w:val="auto"/>
                <w:highlight w:val="none"/>
              </w:rPr>
            </w:pPr>
          </w:p>
        </w:tc>
        <w:tc>
          <w:tcPr>
            <w:tcW w:w="1001" w:type="dxa"/>
            <w:vMerge w:val="continue"/>
            <w:tcBorders>
              <w:top w:val="single" w:color="auto" w:sz="4" w:space="0"/>
              <w:left w:val="single" w:color="auto" w:sz="4" w:space="0"/>
              <w:right w:val="single" w:color="auto" w:sz="4" w:space="0"/>
            </w:tcBorders>
            <w:vAlign w:val="center"/>
          </w:tcPr>
          <w:p w14:paraId="31128DA1">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1BDBCDD">
            <w:pPr>
              <w:snapToGrid w:val="0"/>
              <w:spacing w:line="460" w:lineRule="exact"/>
              <w:jc w:val="center"/>
              <w:rPr>
                <w:rFonts w:hint="eastAsia" w:ascii="宋体" w:hAnsi="宋体"/>
                <w:color w:val="auto"/>
                <w:highlight w:val="none"/>
              </w:rPr>
            </w:pPr>
            <w:r>
              <w:rPr>
                <w:rFonts w:hint="eastAsia" w:ascii="宋体" w:hAnsi="宋体"/>
                <w:color w:val="auto"/>
                <w:highlight w:val="none"/>
              </w:rPr>
              <w:t>施工方案与技术措施</w:t>
            </w:r>
          </w:p>
          <w:p w14:paraId="5B1C04E7">
            <w:pPr>
              <w:snapToGrid w:val="0"/>
              <w:spacing w:line="460" w:lineRule="exact"/>
              <w:jc w:val="center"/>
              <w:rPr>
                <w:rFonts w:ascii="宋体" w:hAnsi="宋体" w:cs="宋体"/>
                <w:color w:val="auto"/>
                <w:kern w:val="0"/>
                <w:highlight w:val="none"/>
              </w:rPr>
            </w:pPr>
            <w:r>
              <w:rPr>
                <w:rFonts w:hint="eastAsia" w:ascii="宋体" w:hAnsi="宋体"/>
                <w:color w:val="auto"/>
                <w:highlight w:val="none"/>
              </w:rPr>
              <w:t>（8分）</w:t>
            </w:r>
          </w:p>
        </w:tc>
        <w:tc>
          <w:tcPr>
            <w:tcW w:w="5385" w:type="dxa"/>
            <w:vMerge w:val="continue"/>
            <w:tcBorders>
              <w:top w:val="single" w:color="auto" w:sz="4" w:space="0"/>
              <w:left w:val="single" w:color="auto" w:sz="4" w:space="0"/>
              <w:right w:val="single" w:color="auto" w:sz="4" w:space="0"/>
            </w:tcBorders>
            <w:vAlign w:val="center"/>
          </w:tcPr>
          <w:p w14:paraId="21A3FFA2">
            <w:pPr>
              <w:autoSpaceDE w:val="0"/>
              <w:autoSpaceDN w:val="0"/>
              <w:adjustRightInd w:val="0"/>
              <w:snapToGrid w:val="0"/>
              <w:spacing w:line="460" w:lineRule="exact"/>
              <w:ind w:firstLine="210" w:firstLineChars="100"/>
              <w:rPr>
                <w:rFonts w:ascii="宋体" w:hAnsi="宋体"/>
                <w:color w:val="auto"/>
                <w:szCs w:val="21"/>
                <w:highlight w:val="none"/>
              </w:rPr>
            </w:pPr>
          </w:p>
        </w:tc>
      </w:tr>
      <w:tr w14:paraId="5D79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tcBorders>
              <w:left w:val="single" w:color="auto" w:sz="4" w:space="0"/>
              <w:right w:val="single" w:color="auto" w:sz="4" w:space="0"/>
            </w:tcBorders>
            <w:vAlign w:val="center"/>
          </w:tcPr>
          <w:p w14:paraId="2EBEEA80">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11527557">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26DF0CA2">
            <w:pPr>
              <w:snapToGrid w:val="0"/>
              <w:spacing w:line="460" w:lineRule="exact"/>
              <w:jc w:val="center"/>
              <w:rPr>
                <w:rFonts w:hint="eastAsia" w:ascii="宋体" w:hAnsi="宋体" w:cs="宋体"/>
                <w:color w:val="auto"/>
                <w:kern w:val="0"/>
                <w:highlight w:val="none"/>
              </w:rPr>
            </w:pPr>
            <w:r>
              <w:rPr>
                <w:rFonts w:hint="eastAsia" w:ascii="宋体" w:hAnsi="宋体" w:cs="宋体"/>
                <w:color w:val="auto"/>
                <w:kern w:val="0"/>
                <w:highlight w:val="none"/>
              </w:rPr>
              <w:t>质量管理体系与措施</w:t>
            </w:r>
          </w:p>
          <w:p w14:paraId="715278E4">
            <w:pPr>
              <w:snapToGrid w:val="0"/>
              <w:spacing w:line="460" w:lineRule="exact"/>
              <w:jc w:val="center"/>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highlight w:val="none"/>
              </w:rPr>
              <w:t>3分</w:t>
            </w:r>
            <w:r>
              <w:rPr>
                <w:rFonts w:hint="eastAsia" w:ascii="宋体" w:hAnsi="宋体" w:cs="宋体"/>
                <w:color w:val="auto"/>
                <w:kern w:val="0"/>
                <w:highlight w:val="none"/>
              </w:rPr>
              <w:t>）</w:t>
            </w:r>
          </w:p>
        </w:tc>
        <w:tc>
          <w:tcPr>
            <w:tcW w:w="5385" w:type="dxa"/>
            <w:vMerge w:val="continue"/>
            <w:tcBorders>
              <w:left w:val="single" w:color="auto" w:sz="4" w:space="0"/>
              <w:right w:val="single" w:color="auto" w:sz="4" w:space="0"/>
            </w:tcBorders>
            <w:vAlign w:val="center"/>
          </w:tcPr>
          <w:p w14:paraId="44BC3C19">
            <w:pPr>
              <w:snapToGrid w:val="0"/>
              <w:spacing w:line="460" w:lineRule="exact"/>
              <w:jc w:val="center"/>
              <w:rPr>
                <w:rFonts w:ascii="宋体" w:hAnsi="宋体" w:cs="宋体"/>
                <w:color w:val="auto"/>
                <w:highlight w:val="none"/>
                <w:u w:val="single"/>
              </w:rPr>
            </w:pPr>
          </w:p>
        </w:tc>
      </w:tr>
      <w:tr w14:paraId="67B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tcBorders>
              <w:left w:val="single" w:color="auto" w:sz="4" w:space="0"/>
              <w:right w:val="single" w:color="auto" w:sz="4" w:space="0"/>
            </w:tcBorders>
            <w:vAlign w:val="center"/>
          </w:tcPr>
          <w:p w14:paraId="594A61EF">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030958C1">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2C4B17CC">
            <w:pPr>
              <w:snapToGrid w:val="0"/>
              <w:spacing w:line="460" w:lineRule="exact"/>
              <w:jc w:val="center"/>
              <w:rPr>
                <w:rFonts w:hint="eastAsia" w:ascii="宋体" w:hAnsi="宋体" w:cs="宋体"/>
                <w:color w:val="auto"/>
                <w:kern w:val="0"/>
                <w:highlight w:val="none"/>
              </w:rPr>
            </w:pPr>
            <w:r>
              <w:rPr>
                <w:rFonts w:hint="eastAsia" w:ascii="宋体" w:hAnsi="宋体" w:cs="宋体"/>
                <w:color w:val="auto"/>
                <w:kern w:val="0"/>
                <w:highlight w:val="none"/>
              </w:rPr>
              <w:t>安全管理体系与措施</w:t>
            </w:r>
          </w:p>
          <w:p w14:paraId="613A4A45">
            <w:pPr>
              <w:snapToGrid w:val="0"/>
              <w:spacing w:line="460" w:lineRule="exact"/>
              <w:jc w:val="center"/>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highlight w:val="none"/>
              </w:rPr>
              <w:t>3分</w:t>
            </w:r>
            <w:r>
              <w:rPr>
                <w:rFonts w:hint="eastAsia" w:ascii="宋体" w:hAnsi="宋体" w:cs="宋体"/>
                <w:color w:val="auto"/>
                <w:kern w:val="0"/>
                <w:highlight w:val="none"/>
              </w:rPr>
              <w:t>）</w:t>
            </w:r>
          </w:p>
        </w:tc>
        <w:tc>
          <w:tcPr>
            <w:tcW w:w="5385" w:type="dxa"/>
            <w:vMerge w:val="continue"/>
            <w:tcBorders>
              <w:left w:val="single" w:color="auto" w:sz="4" w:space="0"/>
              <w:right w:val="single" w:color="auto" w:sz="4" w:space="0"/>
            </w:tcBorders>
            <w:vAlign w:val="center"/>
          </w:tcPr>
          <w:p w14:paraId="3C88B973">
            <w:pPr>
              <w:snapToGrid w:val="0"/>
              <w:spacing w:line="460" w:lineRule="exact"/>
              <w:jc w:val="center"/>
              <w:rPr>
                <w:rFonts w:ascii="宋体" w:hAnsi="宋体" w:cs="宋体"/>
                <w:color w:val="auto"/>
                <w:highlight w:val="none"/>
                <w:u w:val="single"/>
              </w:rPr>
            </w:pPr>
          </w:p>
        </w:tc>
      </w:tr>
      <w:tr w14:paraId="7D11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tcBorders>
              <w:left w:val="single" w:color="auto" w:sz="4" w:space="0"/>
              <w:right w:val="single" w:color="auto" w:sz="4" w:space="0"/>
            </w:tcBorders>
            <w:vAlign w:val="center"/>
          </w:tcPr>
          <w:p w14:paraId="35B0544E">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1B39C2D2">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043DA212">
            <w:pPr>
              <w:snapToGrid w:val="0"/>
              <w:spacing w:line="460" w:lineRule="exact"/>
              <w:jc w:val="center"/>
              <w:rPr>
                <w:rFonts w:hint="eastAsia" w:ascii="宋体" w:hAnsi="宋体"/>
                <w:color w:val="auto"/>
                <w:highlight w:val="none"/>
              </w:rPr>
            </w:pPr>
            <w:r>
              <w:rPr>
                <w:rFonts w:hint="eastAsia" w:ascii="宋体" w:hAnsi="宋体"/>
                <w:color w:val="auto"/>
                <w:highlight w:val="none"/>
              </w:rPr>
              <w:t>工程进度计划与措施</w:t>
            </w:r>
          </w:p>
          <w:p w14:paraId="009C2F24">
            <w:pPr>
              <w:snapToGrid w:val="0"/>
              <w:spacing w:line="460" w:lineRule="exact"/>
              <w:jc w:val="center"/>
              <w:rPr>
                <w:rFonts w:ascii="宋体" w:hAnsi="宋体" w:cs="宋体"/>
                <w:color w:val="auto"/>
                <w:kern w:val="0"/>
                <w:highlight w:val="none"/>
              </w:rPr>
            </w:pPr>
            <w:r>
              <w:rPr>
                <w:rFonts w:hint="eastAsia" w:ascii="宋体" w:hAnsi="宋体"/>
                <w:color w:val="auto"/>
                <w:highlight w:val="none"/>
              </w:rPr>
              <w:t>（6分）</w:t>
            </w:r>
          </w:p>
        </w:tc>
        <w:tc>
          <w:tcPr>
            <w:tcW w:w="5385" w:type="dxa"/>
            <w:vMerge w:val="continue"/>
            <w:tcBorders>
              <w:left w:val="single" w:color="auto" w:sz="4" w:space="0"/>
              <w:right w:val="single" w:color="auto" w:sz="4" w:space="0"/>
            </w:tcBorders>
            <w:vAlign w:val="center"/>
          </w:tcPr>
          <w:p w14:paraId="2FB6752D">
            <w:pPr>
              <w:snapToGrid w:val="0"/>
              <w:spacing w:line="460" w:lineRule="exact"/>
              <w:jc w:val="center"/>
              <w:rPr>
                <w:rFonts w:ascii="宋体" w:hAnsi="宋体" w:cs="宋体"/>
                <w:color w:val="auto"/>
                <w:highlight w:val="none"/>
                <w:u w:val="single"/>
              </w:rPr>
            </w:pPr>
          </w:p>
        </w:tc>
      </w:tr>
      <w:tr w14:paraId="789A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tcBorders>
              <w:left w:val="single" w:color="auto" w:sz="4" w:space="0"/>
              <w:right w:val="single" w:color="auto" w:sz="4" w:space="0"/>
            </w:tcBorders>
            <w:vAlign w:val="center"/>
          </w:tcPr>
          <w:p w14:paraId="1B40861C">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6F1657AC">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9817D42">
            <w:pPr>
              <w:snapToGrid w:val="0"/>
              <w:spacing w:line="460" w:lineRule="exact"/>
              <w:jc w:val="center"/>
              <w:rPr>
                <w:rFonts w:ascii="宋体" w:hAnsi="宋体" w:cs="宋体"/>
                <w:color w:val="auto"/>
                <w:kern w:val="0"/>
                <w:highlight w:val="none"/>
              </w:rPr>
            </w:pPr>
            <w:r>
              <w:rPr>
                <w:rFonts w:hint="eastAsia" w:ascii="宋体" w:hAnsi="宋体" w:cs="宋体"/>
                <w:color w:val="auto"/>
                <w:kern w:val="0"/>
                <w:highlight w:val="none"/>
              </w:rPr>
              <w:t>环境保护管理体系措施（</w:t>
            </w:r>
            <w:r>
              <w:rPr>
                <w:rFonts w:hint="eastAsia" w:ascii="宋体" w:hAnsi="宋体" w:cs="宋体"/>
                <w:color w:val="auto"/>
                <w:highlight w:val="none"/>
              </w:rPr>
              <w:t>3分</w:t>
            </w:r>
            <w:r>
              <w:rPr>
                <w:rFonts w:hint="eastAsia" w:ascii="宋体" w:hAnsi="宋体" w:cs="宋体"/>
                <w:color w:val="auto"/>
                <w:kern w:val="0"/>
                <w:highlight w:val="none"/>
              </w:rPr>
              <w:t>）</w:t>
            </w:r>
          </w:p>
        </w:tc>
        <w:tc>
          <w:tcPr>
            <w:tcW w:w="5385" w:type="dxa"/>
            <w:vMerge w:val="continue"/>
            <w:tcBorders>
              <w:left w:val="single" w:color="auto" w:sz="4" w:space="0"/>
              <w:right w:val="single" w:color="auto" w:sz="4" w:space="0"/>
            </w:tcBorders>
            <w:vAlign w:val="center"/>
          </w:tcPr>
          <w:p w14:paraId="3CDBBAF9">
            <w:pPr>
              <w:snapToGrid w:val="0"/>
              <w:spacing w:line="460" w:lineRule="exact"/>
              <w:jc w:val="center"/>
              <w:rPr>
                <w:rFonts w:ascii="宋体" w:hAnsi="宋体" w:cs="宋体"/>
                <w:color w:val="auto"/>
                <w:highlight w:val="none"/>
                <w:u w:val="single"/>
              </w:rPr>
            </w:pPr>
          </w:p>
        </w:tc>
      </w:tr>
      <w:tr w14:paraId="67F5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28" w:type="dxa"/>
            <w:vMerge w:val="continue"/>
            <w:tcBorders>
              <w:left w:val="single" w:color="auto" w:sz="4" w:space="0"/>
              <w:right w:val="single" w:color="auto" w:sz="4" w:space="0"/>
            </w:tcBorders>
            <w:vAlign w:val="center"/>
          </w:tcPr>
          <w:p w14:paraId="73426BC3">
            <w:pPr>
              <w:widowControl/>
              <w:spacing w:line="460" w:lineRule="exact"/>
              <w:jc w:val="left"/>
              <w:rPr>
                <w:rFonts w:ascii="宋体" w:hAnsi="宋体" w:cs="宋体"/>
                <w:color w:val="auto"/>
                <w:kern w:val="0"/>
                <w:szCs w:val="21"/>
                <w:highlight w:val="none"/>
              </w:rPr>
            </w:pPr>
          </w:p>
        </w:tc>
        <w:tc>
          <w:tcPr>
            <w:tcW w:w="1001" w:type="dxa"/>
            <w:vMerge w:val="continue"/>
            <w:tcBorders>
              <w:left w:val="single" w:color="auto" w:sz="4" w:space="0"/>
              <w:right w:val="single" w:color="auto" w:sz="4" w:space="0"/>
            </w:tcBorders>
            <w:vAlign w:val="center"/>
          </w:tcPr>
          <w:p w14:paraId="71D92DEB">
            <w:pPr>
              <w:widowControl/>
              <w:spacing w:line="460" w:lineRule="exact"/>
              <w:jc w:val="left"/>
              <w:rPr>
                <w:rFonts w:ascii="宋体" w:hAnsi="宋体" w:cs="宋体"/>
                <w:color w:val="auto"/>
                <w:kern w:val="0"/>
                <w:highlight w:val="none"/>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2812AE8">
            <w:pPr>
              <w:snapToGrid w:val="0"/>
              <w:spacing w:line="460" w:lineRule="exact"/>
              <w:jc w:val="center"/>
              <w:rPr>
                <w:rFonts w:ascii="宋体" w:hAnsi="宋体" w:cs="宋体"/>
                <w:color w:val="auto"/>
                <w:kern w:val="0"/>
                <w:highlight w:val="none"/>
              </w:rPr>
            </w:pPr>
            <w:r>
              <w:rPr>
                <w:rFonts w:hint="eastAsia" w:ascii="宋体" w:hAnsi="宋体" w:cs="宋体"/>
                <w:color w:val="auto"/>
                <w:kern w:val="0"/>
                <w:highlight w:val="none"/>
              </w:rPr>
              <w:t>资源配置计划与先进性（</w:t>
            </w:r>
            <w:r>
              <w:rPr>
                <w:rFonts w:hint="eastAsia" w:ascii="宋体" w:hAnsi="宋体" w:cs="宋体"/>
                <w:color w:val="auto"/>
                <w:highlight w:val="none"/>
              </w:rPr>
              <w:t>3分</w:t>
            </w:r>
            <w:r>
              <w:rPr>
                <w:rFonts w:hint="eastAsia" w:ascii="宋体" w:hAnsi="宋体" w:cs="宋体"/>
                <w:color w:val="auto"/>
                <w:kern w:val="0"/>
                <w:highlight w:val="none"/>
              </w:rPr>
              <w:t>）</w:t>
            </w:r>
          </w:p>
        </w:tc>
        <w:tc>
          <w:tcPr>
            <w:tcW w:w="5385" w:type="dxa"/>
            <w:vMerge w:val="continue"/>
            <w:tcBorders>
              <w:left w:val="single" w:color="auto" w:sz="4" w:space="0"/>
              <w:right w:val="single" w:color="auto" w:sz="4" w:space="0"/>
            </w:tcBorders>
            <w:vAlign w:val="center"/>
          </w:tcPr>
          <w:p w14:paraId="08AD106A">
            <w:pPr>
              <w:snapToGrid w:val="0"/>
              <w:spacing w:line="460" w:lineRule="exact"/>
              <w:jc w:val="center"/>
              <w:rPr>
                <w:rFonts w:ascii="宋体" w:hAnsi="宋体" w:cs="宋体"/>
                <w:color w:val="auto"/>
                <w:highlight w:val="none"/>
                <w:u w:val="single"/>
              </w:rPr>
            </w:pPr>
          </w:p>
        </w:tc>
      </w:tr>
      <w:tr w14:paraId="6C9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29" w:type="dxa"/>
            <w:gridSpan w:val="2"/>
            <w:tcBorders>
              <w:top w:val="single" w:color="auto" w:sz="4" w:space="0"/>
              <w:left w:val="single" w:color="auto" w:sz="4" w:space="0"/>
              <w:bottom w:val="single" w:color="auto" w:sz="4" w:space="0"/>
              <w:right w:val="single" w:color="auto" w:sz="4" w:space="0"/>
            </w:tcBorders>
            <w:vAlign w:val="center"/>
          </w:tcPr>
          <w:p w14:paraId="5622351E">
            <w:pPr>
              <w:spacing w:line="460" w:lineRule="exact"/>
              <w:ind w:firstLine="18" w:firstLineChars="9"/>
              <w:jc w:val="center"/>
              <w:rPr>
                <w:rFonts w:ascii="宋体" w:hAnsi="宋体"/>
                <w:color w:val="auto"/>
                <w:highlight w:val="none"/>
              </w:rPr>
            </w:pPr>
            <w:r>
              <w:rPr>
                <w:rFonts w:hint="eastAsia" w:ascii="宋体" w:hAnsi="宋体"/>
                <w:color w:val="auto"/>
                <w:highlight w:val="none"/>
              </w:rPr>
              <w:t>3.2.3</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69BDCA26">
            <w:pPr>
              <w:spacing w:line="460" w:lineRule="exact"/>
              <w:ind w:firstLine="18" w:firstLineChars="9"/>
              <w:jc w:val="center"/>
              <w:rPr>
                <w:rFonts w:ascii="宋体" w:hAnsi="宋体"/>
                <w:color w:val="auto"/>
                <w:highlight w:val="none"/>
              </w:rPr>
            </w:pPr>
            <w:r>
              <w:rPr>
                <w:rFonts w:hint="eastAsia" w:ascii="宋体" w:hAnsi="宋体"/>
                <w:color w:val="auto"/>
                <w:highlight w:val="none"/>
              </w:rPr>
              <w:t>比选申请人得分</w:t>
            </w:r>
          </w:p>
        </w:tc>
        <w:tc>
          <w:tcPr>
            <w:tcW w:w="5385" w:type="dxa"/>
            <w:tcBorders>
              <w:top w:val="single" w:color="auto" w:sz="4" w:space="0"/>
              <w:left w:val="single" w:color="auto" w:sz="4" w:space="0"/>
              <w:bottom w:val="single" w:color="auto" w:sz="4" w:space="0"/>
              <w:right w:val="single" w:color="auto" w:sz="4" w:space="0"/>
            </w:tcBorders>
          </w:tcPr>
          <w:p w14:paraId="2EB9DE57">
            <w:pPr>
              <w:spacing w:line="460" w:lineRule="exact"/>
              <w:jc w:val="center"/>
              <w:rPr>
                <w:rFonts w:ascii="宋体" w:hAnsi="宋体"/>
                <w:color w:val="auto"/>
                <w:highlight w:val="none"/>
              </w:rPr>
            </w:pPr>
            <w:r>
              <w:rPr>
                <w:rFonts w:hint="eastAsia" w:ascii="宋体" w:hAnsi="宋体"/>
                <w:color w:val="auto"/>
                <w:highlight w:val="none"/>
              </w:rPr>
              <w:t>比选申请人得分=</w:t>
            </w:r>
            <w:r>
              <w:rPr>
                <w:rFonts w:hint="eastAsia" w:ascii="宋体" w:hAnsi="宋体" w:cs="宋体"/>
                <w:color w:val="auto"/>
                <w:kern w:val="0"/>
                <w:szCs w:val="21"/>
                <w:highlight w:val="none"/>
                <w:u w:val="single"/>
              </w:rPr>
              <w:t xml:space="preserve"> A + B</w:t>
            </w:r>
          </w:p>
        </w:tc>
      </w:tr>
      <w:bookmarkEnd w:id="673"/>
      <w:bookmarkEnd w:id="674"/>
      <w:bookmarkEnd w:id="675"/>
      <w:bookmarkEnd w:id="676"/>
    </w:tbl>
    <w:p w14:paraId="300329C3">
      <w:pPr>
        <w:autoSpaceDE w:val="0"/>
        <w:autoSpaceDN w:val="0"/>
        <w:adjustRightInd w:val="0"/>
        <w:snapToGrid w:val="0"/>
        <w:spacing w:before="340" w:after="330" w:line="360" w:lineRule="auto"/>
        <w:jc w:val="left"/>
        <w:rPr>
          <w:rFonts w:ascii="宋体" w:hAnsi="宋体"/>
          <w:color w:val="auto"/>
          <w:kern w:val="0"/>
          <w:highlight w:val="none"/>
        </w:rPr>
      </w:pPr>
      <w:r>
        <w:rPr>
          <w:rFonts w:ascii="宋体" w:hAnsi="宋体"/>
          <w:color w:val="auto"/>
          <w:kern w:val="0"/>
          <w:highlight w:val="none"/>
        </w:rPr>
        <w:br w:type="page"/>
      </w:r>
    </w:p>
    <w:p w14:paraId="61EF5138">
      <w:pPr>
        <w:pStyle w:val="4"/>
        <w:spacing w:line="360" w:lineRule="auto"/>
        <w:rPr>
          <w:rFonts w:ascii="宋体" w:hAnsi="宋体"/>
          <w:color w:val="auto"/>
          <w:w w:val="99"/>
          <w:szCs w:val="21"/>
          <w:highlight w:val="none"/>
        </w:rPr>
      </w:pPr>
      <w:bookmarkStart w:id="687" w:name="_Toc23493"/>
      <w:bookmarkStart w:id="688" w:name="_Toc28819"/>
      <w:bookmarkStart w:id="689" w:name="_Toc6672"/>
      <w:r>
        <w:rPr>
          <w:rFonts w:hint="eastAsia" w:ascii="宋体" w:hAnsi="宋体"/>
          <w:color w:val="auto"/>
          <w:highlight w:val="none"/>
        </w:rPr>
        <w:t>1.  评标方法</w:t>
      </w:r>
      <w:bookmarkEnd w:id="687"/>
      <w:bookmarkEnd w:id="688"/>
      <w:bookmarkEnd w:id="689"/>
    </w:p>
    <w:p w14:paraId="0DAEC49F">
      <w:pPr>
        <w:autoSpaceDE w:val="0"/>
        <w:autoSpaceDN w:val="0"/>
        <w:adjustRightInd w:val="0"/>
        <w:snapToGrid w:val="0"/>
        <w:spacing w:line="360" w:lineRule="auto"/>
        <w:ind w:firstLine="420"/>
        <w:rPr>
          <w:rFonts w:ascii="宋体" w:hAnsi="宋体" w:cs="MingLiU"/>
          <w:color w:val="auto"/>
          <w:kern w:val="0"/>
          <w:szCs w:val="21"/>
          <w:highlight w:val="none"/>
        </w:rPr>
      </w:pPr>
      <w:r>
        <w:rPr>
          <w:rFonts w:hint="eastAsia" w:ascii="宋体" w:hAnsi="宋体" w:cs="MingLiU"/>
          <w:color w:val="auto"/>
          <w:kern w:val="0"/>
          <w:szCs w:val="21"/>
          <w:highlight w:val="none"/>
        </w:rPr>
        <w:t>本次评标采用综合评估法</w:t>
      </w:r>
      <w:r>
        <w:rPr>
          <w:rFonts w:hint="eastAsia" w:ascii="宋体" w:hAnsi="宋体" w:cs="MingLiU"/>
          <w:color w:val="auto"/>
          <w:spacing w:val="-47"/>
          <w:kern w:val="0"/>
          <w:szCs w:val="21"/>
          <w:highlight w:val="none"/>
        </w:rPr>
        <w:t>。</w:t>
      </w:r>
      <w:r>
        <w:rPr>
          <w:rFonts w:hint="eastAsia" w:ascii="宋体" w:hAnsi="宋体" w:cs="MingLiU"/>
          <w:color w:val="auto"/>
          <w:kern w:val="0"/>
          <w:szCs w:val="21"/>
          <w:highlight w:val="none"/>
        </w:rPr>
        <w:t>评标委员会按照本章第</w:t>
      </w:r>
      <w:r>
        <w:rPr>
          <w:rFonts w:hint="eastAsia" w:ascii="宋体" w:hAnsi="宋体"/>
          <w:color w:val="auto"/>
          <w:spacing w:val="1"/>
          <w:kern w:val="0"/>
          <w:szCs w:val="21"/>
          <w:highlight w:val="none"/>
        </w:rPr>
        <w:t>2</w:t>
      </w:r>
      <w:r>
        <w:rPr>
          <w:rFonts w:hint="eastAsia" w:ascii="宋体" w:hAnsi="宋体"/>
          <w:color w:val="auto"/>
          <w:spacing w:val="-1"/>
          <w:kern w:val="0"/>
          <w:szCs w:val="21"/>
          <w:highlight w:val="none"/>
        </w:rPr>
        <w:t>.</w:t>
      </w:r>
      <w:r>
        <w:rPr>
          <w:rFonts w:hint="eastAsia" w:ascii="宋体" w:hAnsi="宋体"/>
          <w:color w:val="auto"/>
          <w:kern w:val="0"/>
          <w:szCs w:val="21"/>
          <w:highlight w:val="none"/>
        </w:rPr>
        <w:t>2</w:t>
      </w:r>
      <w:r>
        <w:rPr>
          <w:rFonts w:hint="eastAsia" w:ascii="宋体" w:hAnsi="宋体" w:cs="MingLiU"/>
          <w:color w:val="auto"/>
          <w:kern w:val="0"/>
          <w:szCs w:val="21"/>
          <w:highlight w:val="none"/>
        </w:rPr>
        <w:t>款</w:t>
      </w:r>
      <w:r>
        <w:rPr>
          <w:rFonts w:hint="eastAsia" w:ascii="宋体" w:hAnsi="宋体" w:cs="MingLiU"/>
          <w:color w:val="auto"/>
          <w:spacing w:val="-1"/>
          <w:kern w:val="0"/>
          <w:szCs w:val="21"/>
          <w:highlight w:val="none"/>
        </w:rPr>
        <w:t>规</w:t>
      </w:r>
      <w:r>
        <w:rPr>
          <w:rFonts w:hint="eastAsia" w:ascii="宋体" w:hAnsi="宋体" w:cs="MingLiU"/>
          <w:color w:val="auto"/>
          <w:kern w:val="0"/>
          <w:szCs w:val="21"/>
          <w:highlight w:val="none"/>
        </w:rPr>
        <w:t>定的评分标准进行打分，按得分由高到低顺序推荐中选候选人</w:t>
      </w:r>
      <w:r>
        <w:rPr>
          <w:rFonts w:hint="eastAsia" w:ascii="宋体" w:hAnsi="宋体" w:cs="MingLiU"/>
          <w:color w:val="auto"/>
          <w:spacing w:val="-20"/>
          <w:kern w:val="0"/>
          <w:szCs w:val="21"/>
          <w:highlight w:val="none"/>
        </w:rPr>
        <w:t>，</w:t>
      </w:r>
      <w:r>
        <w:rPr>
          <w:rFonts w:hint="eastAsia" w:ascii="宋体" w:hAnsi="宋体" w:cs="MingLiU"/>
          <w:color w:val="auto"/>
          <w:kern w:val="0"/>
          <w:szCs w:val="21"/>
          <w:highlight w:val="none"/>
        </w:rPr>
        <w:t>或根据比选人授权直接确定拟中选人</w:t>
      </w:r>
      <w:r>
        <w:rPr>
          <w:rFonts w:hint="eastAsia" w:ascii="宋体" w:hAnsi="宋体" w:cs="MingLiU"/>
          <w:color w:val="auto"/>
          <w:spacing w:val="-31"/>
          <w:kern w:val="0"/>
          <w:szCs w:val="21"/>
          <w:highlight w:val="none"/>
        </w:rPr>
        <w:t>，</w:t>
      </w:r>
      <w:r>
        <w:rPr>
          <w:rFonts w:hint="eastAsia" w:ascii="宋体" w:hAnsi="宋体" w:cs="MingLiU"/>
          <w:color w:val="auto"/>
          <w:kern w:val="0"/>
          <w:szCs w:val="21"/>
          <w:highlight w:val="none"/>
        </w:rPr>
        <w:t>但</w:t>
      </w:r>
      <w:r>
        <w:rPr>
          <w:rFonts w:hint="eastAsia" w:ascii="宋体" w:hAnsi="宋体" w:cs="宋体"/>
          <w:color w:val="auto"/>
          <w:kern w:val="0"/>
          <w:highlight w:val="none"/>
        </w:rPr>
        <w:t>比选申请</w:t>
      </w:r>
      <w:r>
        <w:rPr>
          <w:rFonts w:hint="eastAsia" w:ascii="宋体" w:hAnsi="宋体" w:cs="MingLiU"/>
          <w:color w:val="auto"/>
          <w:kern w:val="0"/>
          <w:szCs w:val="21"/>
          <w:highlight w:val="none"/>
        </w:rPr>
        <w:t>报价低于其成本的除外</w:t>
      </w:r>
      <w:r>
        <w:rPr>
          <w:rFonts w:hint="eastAsia" w:ascii="宋体" w:hAnsi="宋体" w:cs="MingLiU"/>
          <w:color w:val="auto"/>
          <w:spacing w:val="-31"/>
          <w:kern w:val="0"/>
          <w:szCs w:val="21"/>
          <w:highlight w:val="none"/>
        </w:rPr>
        <w:t>。</w:t>
      </w:r>
      <w:r>
        <w:rPr>
          <w:rFonts w:hint="eastAsia" w:ascii="宋体" w:hAnsi="宋体" w:cs="MingLiU"/>
          <w:color w:val="auto"/>
          <w:kern w:val="0"/>
          <w:szCs w:val="21"/>
          <w:highlight w:val="none"/>
        </w:rPr>
        <w:t>综合评分相等时</w:t>
      </w:r>
      <w:r>
        <w:rPr>
          <w:rFonts w:hint="eastAsia" w:ascii="宋体" w:hAnsi="宋体" w:cs="MingLiU"/>
          <w:color w:val="auto"/>
          <w:spacing w:val="-31"/>
          <w:kern w:val="0"/>
          <w:szCs w:val="21"/>
          <w:highlight w:val="none"/>
        </w:rPr>
        <w:t>，</w:t>
      </w:r>
      <w:r>
        <w:rPr>
          <w:rFonts w:hint="eastAsia" w:ascii="宋体" w:hAnsi="宋体" w:cs="MingLiU"/>
          <w:color w:val="auto"/>
          <w:kern w:val="0"/>
          <w:szCs w:val="21"/>
          <w:highlight w:val="none"/>
        </w:rPr>
        <w:t>以</w:t>
      </w:r>
      <w:r>
        <w:rPr>
          <w:rFonts w:hint="eastAsia" w:ascii="宋体" w:hAnsi="宋体" w:cs="宋体"/>
          <w:color w:val="auto"/>
          <w:kern w:val="0"/>
          <w:highlight w:val="none"/>
        </w:rPr>
        <w:t>比选申请</w:t>
      </w:r>
      <w:r>
        <w:rPr>
          <w:rFonts w:hint="eastAsia" w:ascii="宋体" w:hAnsi="宋体" w:cs="MingLiU"/>
          <w:color w:val="auto"/>
          <w:kern w:val="0"/>
          <w:szCs w:val="21"/>
          <w:highlight w:val="none"/>
        </w:rPr>
        <w:t>报价低的优先；</w:t>
      </w:r>
      <w:r>
        <w:rPr>
          <w:rFonts w:hint="eastAsia" w:ascii="宋体" w:hAnsi="宋体" w:cs="宋体"/>
          <w:color w:val="auto"/>
          <w:kern w:val="0"/>
          <w:highlight w:val="none"/>
        </w:rPr>
        <w:t>比选申请</w:t>
      </w:r>
      <w:r>
        <w:rPr>
          <w:rFonts w:hint="eastAsia" w:ascii="宋体" w:hAnsi="宋体" w:cs="MingLiU"/>
          <w:color w:val="auto"/>
          <w:kern w:val="0"/>
          <w:szCs w:val="21"/>
          <w:highlight w:val="none"/>
        </w:rPr>
        <w:t>报价相等的，由比选人自行确定。</w:t>
      </w:r>
    </w:p>
    <w:p w14:paraId="37E4D8A5">
      <w:pPr>
        <w:pStyle w:val="4"/>
        <w:spacing w:line="360" w:lineRule="auto"/>
        <w:rPr>
          <w:rFonts w:ascii="宋体" w:hAnsi="宋体"/>
          <w:color w:val="auto"/>
          <w:highlight w:val="none"/>
        </w:rPr>
      </w:pPr>
      <w:bookmarkStart w:id="690" w:name="_Toc224103385"/>
      <w:bookmarkStart w:id="691" w:name="_Toc460422102"/>
      <w:bookmarkStart w:id="692" w:name="_Toc200513199"/>
      <w:bookmarkStart w:id="693" w:name="_Toc287607813"/>
      <w:bookmarkStart w:id="694" w:name="_Toc505783752"/>
      <w:bookmarkStart w:id="695" w:name="_Toc378"/>
      <w:bookmarkStart w:id="696" w:name="_Toc9137"/>
      <w:bookmarkStart w:id="697" w:name="_Toc15238"/>
      <w:bookmarkStart w:id="698" w:name="_Toc277082619"/>
      <w:bookmarkStart w:id="699" w:name="_Toc16000435"/>
      <w:r>
        <w:rPr>
          <w:rFonts w:hint="eastAsia" w:ascii="宋体" w:hAnsi="宋体"/>
          <w:color w:val="auto"/>
          <w:highlight w:val="none"/>
        </w:rPr>
        <w:t>2.  评审标准</w:t>
      </w:r>
      <w:bookmarkEnd w:id="690"/>
      <w:bookmarkEnd w:id="691"/>
      <w:bookmarkEnd w:id="692"/>
      <w:bookmarkEnd w:id="693"/>
      <w:bookmarkEnd w:id="694"/>
      <w:bookmarkEnd w:id="695"/>
      <w:bookmarkEnd w:id="696"/>
      <w:bookmarkEnd w:id="697"/>
      <w:bookmarkEnd w:id="698"/>
      <w:bookmarkEnd w:id="699"/>
    </w:p>
    <w:p w14:paraId="6BB38051">
      <w:pPr>
        <w:pStyle w:val="5"/>
        <w:spacing w:line="360" w:lineRule="auto"/>
        <w:rPr>
          <w:rFonts w:ascii="宋体" w:hAnsi="宋体"/>
          <w:color w:val="auto"/>
          <w:highlight w:val="none"/>
        </w:rPr>
      </w:pPr>
      <w:bookmarkStart w:id="700" w:name="_Toc224103386"/>
      <w:bookmarkStart w:id="701" w:name="_Toc16000436"/>
      <w:bookmarkStart w:id="702" w:name="_Toc505783753"/>
      <w:bookmarkStart w:id="703" w:name="_Toc28815"/>
      <w:bookmarkStart w:id="704" w:name="_Toc15765"/>
      <w:bookmarkStart w:id="705" w:name="_Toc460422103"/>
      <w:bookmarkStart w:id="706" w:name="_Toc287607814"/>
      <w:bookmarkStart w:id="707" w:name="_Toc277082620"/>
      <w:bookmarkStart w:id="708" w:name="_Toc32048"/>
      <w:bookmarkStart w:id="709" w:name="_Toc200513200"/>
      <w:r>
        <w:rPr>
          <w:rFonts w:hint="eastAsia" w:ascii="宋体" w:hAnsi="宋体"/>
          <w:color w:val="auto"/>
          <w:highlight w:val="none"/>
        </w:rPr>
        <w:t>2.1  初步评审标准</w:t>
      </w:r>
      <w:bookmarkEnd w:id="700"/>
      <w:bookmarkEnd w:id="701"/>
      <w:bookmarkEnd w:id="702"/>
      <w:bookmarkEnd w:id="703"/>
      <w:bookmarkEnd w:id="704"/>
      <w:bookmarkEnd w:id="705"/>
      <w:bookmarkEnd w:id="706"/>
      <w:bookmarkEnd w:id="707"/>
      <w:bookmarkEnd w:id="708"/>
      <w:bookmarkEnd w:id="709"/>
    </w:p>
    <w:p w14:paraId="0408C3A5">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2.1.1  形式评审标准：见评标办法前附表。</w:t>
      </w:r>
    </w:p>
    <w:p w14:paraId="7E473E14">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2.1.2  资格评审标准：见评标办法前附表。</w:t>
      </w:r>
    </w:p>
    <w:p w14:paraId="7C6D7566">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2.1.3  响应性评审标准：见评标办法前附表。</w:t>
      </w:r>
    </w:p>
    <w:p w14:paraId="401805B6">
      <w:pPr>
        <w:pStyle w:val="5"/>
        <w:rPr>
          <w:rFonts w:ascii="宋体" w:hAnsi="宋体"/>
          <w:color w:val="auto"/>
          <w:highlight w:val="none"/>
        </w:rPr>
      </w:pPr>
      <w:bookmarkStart w:id="710" w:name="_Toc16000437"/>
      <w:bookmarkStart w:id="711" w:name="_Toc10721"/>
      <w:bookmarkStart w:id="712" w:name="_Toc277082621"/>
      <w:bookmarkStart w:id="713" w:name="_Toc30908"/>
      <w:bookmarkStart w:id="714" w:name="_Toc287607815"/>
      <w:bookmarkStart w:id="715" w:name="_Toc200513201"/>
      <w:bookmarkStart w:id="716" w:name="_Toc505783754"/>
      <w:bookmarkStart w:id="717" w:name="_Toc460422104"/>
      <w:bookmarkStart w:id="718" w:name="_Toc19105"/>
      <w:bookmarkStart w:id="719" w:name="_Toc224103387"/>
      <w:r>
        <w:rPr>
          <w:rFonts w:hint="eastAsia" w:ascii="宋体" w:hAnsi="宋体"/>
          <w:color w:val="auto"/>
          <w:highlight w:val="none"/>
        </w:rPr>
        <w:t>2.2  分值构成与评分标准</w:t>
      </w:r>
      <w:bookmarkEnd w:id="710"/>
      <w:bookmarkEnd w:id="711"/>
      <w:bookmarkEnd w:id="712"/>
      <w:bookmarkEnd w:id="713"/>
      <w:bookmarkEnd w:id="714"/>
      <w:bookmarkEnd w:id="715"/>
      <w:bookmarkEnd w:id="716"/>
      <w:bookmarkEnd w:id="717"/>
      <w:bookmarkEnd w:id="718"/>
      <w:bookmarkEnd w:id="719"/>
    </w:p>
    <w:p w14:paraId="683DAF39">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2.2.1  分值构成</w:t>
      </w:r>
    </w:p>
    <w:p w14:paraId="7D8D4AD4">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（1）比选申请总报价：见评标办法前附表；</w:t>
      </w:r>
    </w:p>
    <w:p w14:paraId="1C340E44">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lang w:eastAsia="zh-CN"/>
        </w:rPr>
        <w:t>技术方案</w:t>
      </w:r>
      <w:r>
        <w:rPr>
          <w:rFonts w:hint="eastAsia" w:ascii="宋体" w:hAnsi="宋体"/>
          <w:color w:val="auto"/>
          <w:kern w:val="0"/>
          <w:szCs w:val="21"/>
          <w:highlight w:val="none"/>
        </w:rPr>
        <w:t>：见评标办法前附表；</w:t>
      </w:r>
    </w:p>
    <w:p w14:paraId="63A34AEF">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2.2.2  评标基准价计算</w:t>
      </w:r>
    </w:p>
    <w:p w14:paraId="10A33DF2">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评标基准价计算方法：见评标办法前附表。</w:t>
      </w:r>
    </w:p>
    <w:p w14:paraId="5AA6BBB6">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 xml:space="preserve">2.2.3  </w:t>
      </w:r>
      <w:r>
        <w:rPr>
          <w:rFonts w:hint="eastAsia" w:ascii="宋体" w:hAnsi="宋体" w:cs="宋体"/>
          <w:color w:val="auto"/>
          <w:kern w:val="0"/>
          <w:highlight w:val="none"/>
        </w:rPr>
        <w:t>比选申请</w:t>
      </w:r>
      <w:r>
        <w:rPr>
          <w:rFonts w:hint="eastAsia" w:ascii="宋体" w:hAnsi="宋体"/>
          <w:color w:val="auto"/>
          <w:kern w:val="0"/>
          <w:szCs w:val="21"/>
          <w:highlight w:val="none"/>
        </w:rPr>
        <w:t>总报价的偏差率计算</w:t>
      </w:r>
    </w:p>
    <w:p w14:paraId="5C23A8BA">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s="宋体"/>
          <w:color w:val="auto"/>
          <w:kern w:val="0"/>
          <w:highlight w:val="none"/>
        </w:rPr>
        <w:t>比选申请</w:t>
      </w:r>
      <w:r>
        <w:rPr>
          <w:rFonts w:hint="eastAsia" w:ascii="宋体" w:hAnsi="宋体"/>
          <w:color w:val="auto"/>
          <w:kern w:val="0"/>
          <w:szCs w:val="21"/>
          <w:highlight w:val="none"/>
        </w:rPr>
        <w:t>报价的偏差率计算公式：见评标办法前附表。</w:t>
      </w:r>
    </w:p>
    <w:p w14:paraId="5076825D">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2.2.4  评分标准</w:t>
      </w:r>
    </w:p>
    <w:p w14:paraId="5EB3303E">
      <w:pPr>
        <w:autoSpaceDE w:val="0"/>
        <w:autoSpaceDN w:val="0"/>
        <w:adjustRightInd w:val="0"/>
        <w:snapToGrid w:val="0"/>
        <w:spacing w:line="360" w:lineRule="auto"/>
        <w:ind w:firstLine="525" w:firstLineChars="250"/>
        <w:jc w:val="left"/>
        <w:rPr>
          <w:rFonts w:ascii="宋体" w:hAnsi="宋体" w:cs="MingLiU"/>
          <w:color w:val="auto"/>
          <w:kern w:val="0"/>
          <w:szCs w:val="21"/>
          <w:highlight w:val="none"/>
        </w:rPr>
      </w:pPr>
      <w:r>
        <w:rPr>
          <w:rFonts w:hint="eastAsia" w:ascii="宋体" w:hAnsi="宋体" w:cs="MingLiU"/>
          <w:color w:val="auto"/>
          <w:kern w:val="0"/>
          <w:szCs w:val="21"/>
          <w:highlight w:val="none"/>
        </w:rPr>
        <w:t>（1）比选申请报价评分标准：见评标办法前附表。</w:t>
      </w:r>
    </w:p>
    <w:p w14:paraId="0C4FE010">
      <w:pPr>
        <w:autoSpaceDE w:val="0"/>
        <w:autoSpaceDN w:val="0"/>
        <w:adjustRightInd w:val="0"/>
        <w:snapToGrid w:val="0"/>
        <w:spacing w:line="360" w:lineRule="auto"/>
        <w:ind w:firstLine="525" w:firstLineChars="250"/>
        <w:jc w:val="left"/>
        <w:rPr>
          <w:rFonts w:ascii="宋体" w:hAnsi="宋体" w:cs="MingLiU"/>
          <w:color w:val="auto"/>
          <w:kern w:val="0"/>
          <w:szCs w:val="21"/>
          <w:highlight w:val="none"/>
        </w:rPr>
      </w:pPr>
      <w:r>
        <w:rPr>
          <w:rFonts w:hint="eastAsia" w:ascii="宋体" w:hAnsi="宋体" w:cs="MingLiU"/>
          <w:color w:val="auto"/>
          <w:kern w:val="0"/>
          <w:szCs w:val="21"/>
          <w:highlight w:val="none"/>
        </w:rPr>
        <w:t>（2）</w:t>
      </w:r>
      <w:r>
        <w:rPr>
          <w:rFonts w:hint="eastAsia" w:ascii="宋体" w:hAnsi="宋体" w:cs="MingLiU"/>
          <w:color w:val="auto"/>
          <w:kern w:val="0"/>
          <w:szCs w:val="21"/>
          <w:highlight w:val="none"/>
          <w:lang w:eastAsia="zh-CN"/>
        </w:rPr>
        <w:t>技术方案</w:t>
      </w:r>
      <w:r>
        <w:rPr>
          <w:rFonts w:hint="eastAsia" w:ascii="宋体" w:hAnsi="宋体" w:cs="MingLiU"/>
          <w:color w:val="auto"/>
          <w:kern w:val="0"/>
          <w:szCs w:val="21"/>
          <w:highlight w:val="none"/>
        </w:rPr>
        <w:t>评分标准：见评标办法前附表；</w:t>
      </w:r>
    </w:p>
    <w:p w14:paraId="3DCA5E98">
      <w:pPr>
        <w:pStyle w:val="4"/>
        <w:rPr>
          <w:rFonts w:ascii="宋体" w:hAnsi="宋体"/>
          <w:color w:val="auto"/>
          <w:highlight w:val="none"/>
        </w:rPr>
      </w:pPr>
      <w:bookmarkStart w:id="720" w:name="_Toc27756"/>
      <w:bookmarkStart w:id="721" w:name="_Toc224103388"/>
      <w:bookmarkStart w:id="722" w:name="_Toc277082622"/>
      <w:bookmarkStart w:id="723" w:name="_Toc505783755"/>
      <w:bookmarkStart w:id="724" w:name="_Toc26215"/>
      <w:bookmarkStart w:id="725" w:name="_Toc16000438"/>
      <w:bookmarkStart w:id="726" w:name="_Toc460422105"/>
      <w:bookmarkStart w:id="727" w:name="_Toc200513202"/>
      <w:bookmarkStart w:id="728" w:name="_Toc287607816"/>
      <w:bookmarkStart w:id="729" w:name="_Toc17479"/>
      <w:r>
        <w:rPr>
          <w:rFonts w:hint="eastAsia" w:ascii="宋体" w:hAnsi="宋体"/>
          <w:color w:val="auto"/>
          <w:highlight w:val="none"/>
        </w:rPr>
        <w:t>3.  评标程序</w:t>
      </w:r>
      <w:bookmarkEnd w:id="720"/>
      <w:bookmarkEnd w:id="721"/>
      <w:bookmarkEnd w:id="722"/>
      <w:bookmarkEnd w:id="723"/>
      <w:bookmarkEnd w:id="724"/>
      <w:bookmarkEnd w:id="725"/>
      <w:bookmarkEnd w:id="726"/>
      <w:bookmarkEnd w:id="727"/>
      <w:bookmarkEnd w:id="728"/>
      <w:bookmarkEnd w:id="729"/>
    </w:p>
    <w:p w14:paraId="4BDC1C02">
      <w:pPr>
        <w:pStyle w:val="5"/>
        <w:rPr>
          <w:rFonts w:ascii="宋体" w:hAnsi="宋体"/>
          <w:color w:val="auto"/>
          <w:highlight w:val="none"/>
        </w:rPr>
      </w:pPr>
      <w:bookmarkStart w:id="730" w:name="_Toc17107"/>
      <w:bookmarkStart w:id="731" w:name="_Toc9871"/>
      <w:bookmarkStart w:id="732" w:name="_Toc505783756"/>
      <w:bookmarkStart w:id="733" w:name="_Toc287607817"/>
      <w:bookmarkStart w:id="734" w:name="_Toc200513203"/>
      <w:bookmarkStart w:id="735" w:name="_Toc16000439"/>
      <w:bookmarkStart w:id="736" w:name="_Toc8743"/>
      <w:bookmarkStart w:id="737" w:name="_Toc277082623"/>
      <w:bookmarkStart w:id="738" w:name="_Toc460422106"/>
      <w:bookmarkStart w:id="739" w:name="_Toc224103389"/>
      <w:r>
        <w:rPr>
          <w:rFonts w:hint="eastAsia" w:ascii="宋体" w:hAnsi="宋体"/>
          <w:color w:val="auto"/>
          <w:highlight w:val="none"/>
        </w:rPr>
        <w:t>3.1  初步评审</w:t>
      </w:r>
      <w:bookmarkEnd w:id="730"/>
      <w:bookmarkEnd w:id="731"/>
      <w:bookmarkEnd w:id="732"/>
      <w:bookmarkEnd w:id="733"/>
      <w:bookmarkEnd w:id="734"/>
      <w:bookmarkEnd w:id="735"/>
      <w:bookmarkEnd w:id="736"/>
      <w:bookmarkEnd w:id="737"/>
      <w:bookmarkEnd w:id="738"/>
      <w:bookmarkEnd w:id="739"/>
    </w:p>
    <w:p w14:paraId="21C6B118">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3.1.1  评标委员会要求比选申请人必须提交第二章“比选申请人须知”第1.4.1项规定的有关证明和证件的复印件。评标委员会依据本章第 2.1 款规定的标准对比选申请文件进行初步评审。有一项不符合评审标准的，作否决投标处理。</w:t>
      </w:r>
    </w:p>
    <w:p w14:paraId="420E6BE3">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3.1.2  不允许比选申请人有以下情形之一：</w:t>
      </w:r>
    </w:p>
    <w:p w14:paraId="23ACD714">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（1）第二章“比选申请人须知”第 1.4.3 项规定的任何一种情形的；</w:t>
      </w:r>
    </w:p>
    <w:p w14:paraId="63D022A0">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（2）串通投标或弄虚作假或有其他违法行为的；</w:t>
      </w:r>
    </w:p>
    <w:p w14:paraId="7E180CCA">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（3）不按评标委员会要求澄清、说明或补正的；</w:t>
      </w:r>
    </w:p>
    <w:p w14:paraId="7984E4C3">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（4）本比选文件约定的其他情形。</w:t>
      </w:r>
    </w:p>
    <w:p w14:paraId="3A344C39">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 xml:space="preserve">3.1.3  </w:t>
      </w:r>
      <w:r>
        <w:rPr>
          <w:rFonts w:hint="eastAsia" w:ascii="宋体" w:hAnsi="宋体" w:cs="宋体"/>
          <w:color w:val="auto"/>
          <w:kern w:val="0"/>
          <w:highlight w:val="none"/>
        </w:rPr>
        <w:t>比选申请</w:t>
      </w:r>
      <w:r>
        <w:rPr>
          <w:rFonts w:hint="eastAsia" w:ascii="宋体" w:hAnsi="宋体"/>
          <w:color w:val="auto"/>
          <w:kern w:val="0"/>
          <w:szCs w:val="21"/>
          <w:highlight w:val="none"/>
        </w:rPr>
        <w:t>报价有算术错误的，评标委员会按以下原则对</w:t>
      </w:r>
      <w:r>
        <w:rPr>
          <w:rFonts w:hint="eastAsia" w:ascii="宋体" w:hAnsi="宋体" w:cs="宋体"/>
          <w:color w:val="auto"/>
          <w:kern w:val="0"/>
          <w:highlight w:val="none"/>
        </w:rPr>
        <w:t>比选申请</w:t>
      </w:r>
      <w:r>
        <w:rPr>
          <w:rFonts w:hint="eastAsia" w:ascii="宋体" w:hAnsi="宋体"/>
          <w:color w:val="auto"/>
          <w:kern w:val="0"/>
          <w:szCs w:val="21"/>
          <w:highlight w:val="none"/>
        </w:rPr>
        <w:t>报价进行修正，修正的价格经比选申请人书面确认后具有约束力。比选申请人不接受修正价格的，其</w:t>
      </w:r>
      <w:r>
        <w:rPr>
          <w:rFonts w:hint="eastAsia" w:ascii="宋体" w:hAnsi="宋体" w:cs="宋体"/>
          <w:color w:val="auto"/>
          <w:kern w:val="0"/>
          <w:highlight w:val="none"/>
        </w:rPr>
        <w:t>比选申请</w:t>
      </w:r>
      <w:r>
        <w:rPr>
          <w:rFonts w:hint="eastAsia" w:ascii="宋体" w:hAnsi="宋体"/>
          <w:color w:val="auto"/>
          <w:kern w:val="0"/>
          <w:szCs w:val="21"/>
          <w:highlight w:val="none"/>
        </w:rPr>
        <w:t>作废选处理。</w:t>
      </w:r>
    </w:p>
    <w:p w14:paraId="0B857101">
      <w:pPr>
        <w:autoSpaceDE w:val="0"/>
        <w:autoSpaceDN w:val="0"/>
        <w:adjustRightInd w:val="0"/>
        <w:snapToGrid w:val="0"/>
        <w:spacing w:line="360" w:lineRule="auto"/>
        <w:ind w:firstLine="532"/>
        <w:jc w:val="left"/>
        <w:rPr>
          <w:rFonts w:ascii="宋体" w:hAnsi="宋体" w:cs="MingLiU"/>
          <w:color w:val="auto"/>
          <w:kern w:val="0"/>
          <w:szCs w:val="21"/>
          <w:highlight w:val="none"/>
        </w:rPr>
      </w:pPr>
      <w:r>
        <w:rPr>
          <w:rFonts w:hint="eastAsia" w:ascii="宋体" w:hAnsi="宋体" w:cs="MingLiU"/>
          <w:color w:val="auto"/>
          <w:kern w:val="0"/>
          <w:szCs w:val="21"/>
          <w:highlight w:val="none"/>
        </w:rPr>
        <w:t>（1）比选申请文件中的大写金额与小写金额不一致的，以大写金额为准；</w:t>
      </w:r>
    </w:p>
    <w:p w14:paraId="469EED97">
      <w:pPr>
        <w:autoSpaceDE w:val="0"/>
        <w:autoSpaceDN w:val="0"/>
        <w:adjustRightInd w:val="0"/>
        <w:snapToGrid w:val="0"/>
        <w:spacing w:line="360" w:lineRule="auto"/>
        <w:ind w:firstLine="532"/>
        <w:jc w:val="left"/>
        <w:rPr>
          <w:rFonts w:ascii="宋体" w:hAnsi="宋体" w:cs="MingLiU"/>
          <w:color w:val="auto"/>
          <w:kern w:val="0"/>
          <w:szCs w:val="21"/>
          <w:highlight w:val="none"/>
        </w:rPr>
      </w:pPr>
      <w:r>
        <w:rPr>
          <w:rFonts w:hint="eastAsia" w:ascii="宋体" w:hAnsi="宋体" w:cs="MingLiU"/>
          <w:color w:val="auto"/>
          <w:kern w:val="0"/>
          <w:szCs w:val="21"/>
          <w:highlight w:val="none"/>
        </w:rPr>
        <w:t>（2）总价金额与依据单价计算出的结果不一致的，以单价金额为准修正总价，但单价金额小数点有明显错误的除外。</w:t>
      </w:r>
    </w:p>
    <w:p w14:paraId="4D819726">
      <w:pPr>
        <w:pStyle w:val="5"/>
        <w:rPr>
          <w:rFonts w:ascii="宋体" w:hAnsi="宋体"/>
          <w:color w:val="auto"/>
          <w:highlight w:val="none"/>
        </w:rPr>
      </w:pPr>
      <w:bookmarkStart w:id="740" w:name="_Toc460422107"/>
      <w:bookmarkStart w:id="741" w:name="_Toc16000440"/>
      <w:bookmarkStart w:id="742" w:name="_Toc224103390"/>
      <w:bookmarkStart w:id="743" w:name="_Toc24701"/>
      <w:bookmarkStart w:id="744" w:name="_Toc287607818"/>
      <w:bookmarkStart w:id="745" w:name="_Toc21835"/>
      <w:bookmarkStart w:id="746" w:name="_Toc505783757"/>
      <w:bookmarkStart w:id="747" w:name="_Toc200513204"/>
      <w:bookmarkStart w:id="748" w:name="_Toc277082624"/>
      <w:bookmarkStart w:id="749" w:name="_Toc8189"/>
      <w:r>
        <w:rPr>
          <w:rFonts w:hint="eastAsia" w:ascii="宋体" w:hAnsi="宋体"/>
          <w:color w:val="auto"/>
          <w:highlight w:val="none"/>
        </w:rPr>
        <w:t>3.2  详细评审</w:t>
      </w:r>
      <w:bookmarkEnd w:id="740"/>
      <w:bookmarkEnd w:id="741"/>
      <w:bookmarkEnd w:id="742"/>
      <w:bookmarkEnd w:id="743"/>
      <w:bookmarkEnd w:id="744"/>
      <w:bookmarkEnd w:id="745"/>
      <w:bookmarkEnd w:id="746"/>
      <w:bookmarkEnd w:id="747"/>
      <w:bookmarkEnd w:id="748"/>
      <w:bookmarkEnd w:id="749"/>
    </w:p>
    <w:p w14:paraId="38F56243">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3.2.1  评标委员会按本章第2.2款规定的量化因素和分值进行打分，并计算出综合评估得分。</w:t>
      </w:r>
    </w:p>
    <w:p w14:paraId="285D9257">
      <w:pPr>
        <w:autoSpaceDE w:val="0"/>
        <w:autoSpaceDN w:val="0"/>
        <w:adjustRightInd w:val="0"/>
        <w:snapToGrid w:val="0"/>
        <w:spacing w:line="360" w:lineRule="auto"/>
        <w:ind w:left="1050" w:leftChars="250" w:hanging="525" w:hangingChars="250"/>
        <w:jc w:val="left"/>
        <w:rPr>
          <w:rFonts w:ascii="宋体" w:hAnsi="宋体" w:cs="MingLiU"/>
          <w:color w:val="auto"/>
          <w:kern w:val="0"/>
          <w:szCs w:val="21"/>
          <w:highlight w:val="none"/>
        </w:rPr>
      </w:pPr>
      <w:r>
        <w:rPr>
          <w:rFonts w:hint="eastAsia" w:ascii="宋体" w:hAnsi="宋体" w:cs="MingLiU"/>
          <w:color w:val="auto"/>
          <w:kern w:val="0"/>
          <w:szCs w:val="21"/>
          <w:highlight w:val="none"/>
        </w:rPr>
        <w:t xml:space="preserve">（1）按本章第 </w:t>
      </w:r>
      <w:r>
        <w:rPr>
          <w:rFonts w:ascii="宋体" w:hAnsi="宋体" w:cs="MingLiU"/>
          <w:color w:val="auto"/>
          <w:kern w:val="0"/>
          <w:szCs w:val="21"/>
          <w:highlight w:val="none"/>
        </w:rPr>
        <w:t>3.2.1</w:t>
      </w:r>
      <w:r>
        <w:rPr>
          <w:rFonts w:hint="eastAsia" w:ascii="宋体" w:hAnsi="宋体" w:cs="MingLiU"/>
          <w:color w:val="auto"/>
          <w:kern w:val="0"/>
          <w:szCs w:val="21"/>
          <w:highlight w:val="none"/>
        </w:rPr>
        <w:t>（1）目规定的评审因素和分值对</w:t>
      </w:r>
      <w:r>
        <w:rPr>
          <w:rFonts w:hint="eastAsia" w:ascii="宋体" w:hAnsi="宋体" w:cs="宋体"/>
          <w:color w:val="auto"/>
          <w:kern w:val="0"/>
          <w:highlight w:val="none"/>
        </w:rPr>
        <w:t>比选申请</w:t>
      </w:r>
      <w:r>
        <w:rPr>
          <w:rFonts w:hint="eastAsia" w:ascii="宋体" w:hAnsi="宋体" w:cs="MingLiU"/>
          <w:color w:val="auto"/>
          <w:kern w:val="0"/>
          <w:szCs w:val="21"/>
          <w:highlight w:val="none"/>
        </w:rPr>
        <w:t>报价计算出得分A</w:t>
      </w:r>
    </w:p>
    <w:p w14:paraId="104529FD">
      <w:pPr>
        <w:autoSpaceDE w:val="0"/>
        <w:autoSpaceDN w:val="0"/>
        <w:adjustRightInd w:val="0"/>
        <w:snapToGrid w:val="0"/>
        <w:spacing w:line="360" w:lineRule="auto"/>
        <w:ind w:left="945" w:leftChars="250" w:hanging="420" w:hangingChars="200"/>
        <w:jc w:val="left"/>
        <w:rPr>
          <w:rFonts w:ascii="宋体" w:hAnsi="宋体" w:cs="MingLiU"/>
          <w:color w:val="auto"/>
          <w:kern w:val="0"/>
          <w:szCs w:val="21"/>
          <w:highlight w:val="none"/>
        </w:rPr>
      </w:pPr>
      <w:r>
        <w:rPr>
          <w:rFonts w:hint="eastAsia" w:ascii="宋体" w:hAnsi="宋体" w:cs="MingLiU"/>
          <w:color w:val="auto"/>
          <w:kern w:val="0"/>
          <w:szCs w:val="21"/>
          <w:highlight w:val="none"/>
        </w:rPr>
        <w:t>（2）按本章第</w:t>
      </w:r>
      <w:r>
        <w:rPr>
          <w:rFonts w:ascii="宋体" w:hAnsi="宋体" w:cs="MingLiU"/>
          <w:color w:val="auto"/>
          <w:kern w:val="0"/>
          <w:szCs w:val="21"/>
          <w:highlight w:val="none"/>
        </w:rPr>
        <w:t>3.2.1</w:t>
      </w:r>
      <w:r>
        <w:rPr>
          <w:rFonts w:hint="eastAsia" w:ascii="宋体" w:hAnsi="宋体" w:cs="MingLiU"/>
          <w:color w:val="auto"/>
          <w:kern w:val="0"/>
          <w:szCs w:val="21"/>
          <w:highlight w:val="none"/>
        </w:rPr>
        <w:t>（2）目规定的评审因素和分值对</w:t>
      </w:r>
      <w:r>
        <w:rPr>
          <w:rFonts w:hint="eastAsia" w:ascii="宋体" w:hAnsi="宋体" w:cs="MingLiU"/>
          <w:color w:val="auto"/>
          <w:kern w:val="0"/>
          <w:szCs w:val="21"/>
          <w:highlight w:val="none"/>
          <w:lang w:eastAsia="zh-CN"/>
        </w:rPr>
        <w:t>技术方案</w:t>
      </w:r>
      <w:r>
        <w:rPr>
          <w:rFonts w:hint="eastAsia" w:ascii="宋体" w:hAnsi="宋体" w:cs="MingLiU"/>
          <w:color w:val="auto"/>
          <w:kern w:val="0"/>
          <w:szCs w:val="21"/>
          <w:highlight w:val="none"/>
        </w:rPr>
        <w:t>计算出得分B；</w:t>
      </w:r>
    </w:p>
    <w:p w14:paraId="5918A108">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3.2.2  评分分值计算保留小数点后两位，小数点后第三位“四舍五入”。</w:t>
      </w:r>
    </w:p>
    <w:p w14:paraId="430C8A2F">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3.2.3  比选申请人得分=</w:t>
      </w:r>
      <w:r>
        <w:rPr>
          <w:rFonts w:hint="eastAsia" w:ascii="宋体" w:hAnsi="宋体" w:cs="宋体"/>
          <w:color w:val="auto"/>
          <w:kern w:val="0"/>
          <w:szCs w:val="21"/>
          <w:highlight w:val="none"/>
        </w:rPr>
        <w:t xml:space="preserve"> A+B。</w:t>
      </w:r>
    </w:p>
    <w:p w14:paraId="0239A1C2">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 xml:space="preserve">3.2.4 </w:t>
      </w:r>
      <w:r>
        <w:rPr>
          <w:rFonts w:hint="eastAsia" w:ascii="宋体" w:hAnsi="宋体" w:cs="MingLiU"/>
          <w:color w:val="auto"/>
          <w:kern w:val="0"/>
          <w:szCs w:val="21"/>
          <w:highlight w:val="none"/>
        </w:rPr>
        <w:t>评标委员会发现比选申请人的报价明显低于其他</w:t>
      </w:r>
      <w:r>
        <w:rPr>
          <w:rFonts w:hint="eastAsia" w:ascii="宋体" w:hAnsi="宋体" w:cs="宋体"/>
          <w:color w:val="auto"/>
          <w:kern w:val="0"/>
          <w:highlight w:val="none"/>
        </w:rPr>
        <w:t>比选申请</w:t>
      </w:r>
      <w:r>
        <w:rPr>
          <w:rFonts w:hint="eastAsia" w:ascii="宋体" w:hAnsi="宋体" w:cs="MingLiU"/>
          <w:color w:val="auto"/>
          <w:kern w:val="0"/>
          <w:szCs w:val="21"/>
          <w:highlight w:val="none"/>
        </w:rPr>
        <w:t>报价，使得其</w:t>
      </w:r>
      <w:r>
        <w:rPr>
          <w:rFonts w:hint="eastAsia" w:ascii="宋体" w:hAnsi="宋体" w:cs="宋体"/>
          <w:color w:val="auto"/>
          <w:kern w:val="0"/>
          <w:highlight w:val="none"/>
        </w:rPr>
        <w:t>比选申请</w:t>
      </w:r>
      <w:r>
        <w:rPr>
          <w:rFonts w:hint="eastAsia" w:ascii="宋体" w:hAnsi="宋体" w:cs="MingLiU"/>
          <w:color w:val="auto"/>
          <w:kern w:val="0"/>
          <w:szCs w:val="21"/>
          <w:highlight w:val="none"/>
        </w:rPr>
        <w:t>报价可能低于其个别成本的，应当要求该比选申请人做出书面说明并提供相应的证明材料。比选申请人不能合理说明或者不能提供相应证明材料的，由评标委员会认定该比选申请人以低于成本报价竞选。</w:t>
      </w:r>
    </w:p>
    <w:p w14:paraId="7138E080">
      <w:pPr>
        <w:pStyle w:val="5"/>
        <w:rPr>
          <w:rFonts w:ascii="宋体" w:hAnsi="宋体"/>
          <w:color w:val="auto"/>
          <w:highlight w:val="none"/>
        </w:rPr>
      </w:pPr>
      <w:bookmarkStart w:id="750" w:name="_Toc460422108"/>
      <w:bookmarkStart w:id="751" w:name="_Toc16000441"/>
      <w:bookmarkStart w:id="752" w:name="_Toc19869"/>
      <w:bookmarkStart w:id="753" w:name="_Toc224103391"/>
      <w:bookmarkStart w:id="754" w:name="_Toc287607819"/>
      <w:bookmarkStart w:id="755" w:name="_Toc505783758"/>
      <w:bookmarkStart w:id="756" w:name="_Toc13384"/>
      <w:bookmarkStart w:id="757" w:name="_Toc277082625"/>
      <w:bookmarkStart w:id="758" w:name="_Toc200513205"/>
      <w:bookmarkStart w:id="759" w:name="_Toc17887"/>
      <w:r>
        <w:rPr>
          <w:rFonts w:hint="eastAsia" w:ascii="宋体" w:hAnsi="宋体"/>
          <w:color w:val="auto"/>
          <w:highlight w:val="none"/>
        </w:rPr>
        <w:t>3.3  比选申请文件的澄清和补正</w:t>
      </w:r>
      <w:bookmarkEnd w:id="750"/>
      <w:bookmarkEnd w:id="751"/>
      <w:bookmarkEnd w:id="752"/>
      <w:bookmarkEnd w:id="753"/>
      <w:bookmarkEnd w:id="754"/>
      <w:bookmarkEnd w:id="755"/>
      <w:bookmarkEnd w:id="756"/>
      <w:bookmarkEnd w:id="757"/>
      <w:bookmarkEnd w:id="758"/>
      <w:bookmarkEnd w:id="759"/>
    </w:p>
    <w:p w14:paraId="0BEDE6A0">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3.3.1  在评标过程中，评标委员会可以书面形式要求比选申请人对所提交比选申请文件中不明确的内容进行书面澄清或说明，或者对细微偏差进行补正。评标委员会不接受比选申请人主动提出的澄清、说明或补正。</w:t>
      </w:r>
    </w:p>
    <w:p w14:paraId="7316DBE3">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3.3.2  澄清、说明和补正不得改变比选申请文件的实质性内容（算术性错误修正的除外）。比选申请人的书面澄清、说明和补正属于比选申请文件的组成部分。</w:t>
      </w:r>
    </w:p>
    <w:p w14:paraId="40CBCCA5">
      <w:pPr>
        <w:autoSpaceDE w:val="0"/>
        <w:autoSpaceDN w:val="0"/>
        <w:adjustRightInd w:val="0"/>
        <w:snapToGrid w:val="0"/>
        <w:spacing w:line="360" w:lineRule="auto"/>
        <w:ind w:left="1" w:firstLine="535" w:firstLineChars="255"/>
        <w:jc w:val="left"/>
        <w:rPr>
          <w:rFonts w:ascii="宋体" w:hAnsi="宋体"/>
          <w:color w:val="auto"/>
          <w:kern w:val="0"/>
          <w:szCs w:val="21"/>
          <w:highlight w:val="none"/>
        </w:rPr>
      </w:pPr>
      <w:r>
        <w:rPr>
          <w:rFonts w:hint="eastAsia" w:ascii="宋体" w:hAnsi="宋体"/>
          <w:color w:val="auto"/>
          <w:kern w:val="0"/>
          <w:szCs w:val="21"/>
          <w:highlight w:val="none"/>
        </w:rPr>
        <w:t>3.3.3  评标委员会对比选申请人提交的澄清、说明或补正有疑问的，可以要求比选申请人进一步澄清、说明或补正，直至满足评标委员会的要求。</w:t>
      </w:r>
    </w:p>
    <w:p w14:paraId="0993CB33">
      <w:pPr>
        <w:pStyle w:val="5"/>
        <w:rPr>
          <w:rFonts w:ascii="宋体" w:hAnsi="宋体"/>
          <w:color w:val="auto"/>
          <w:highlight w:val="none"/>
        </w:rPr>
      </w:pPr>
      <w:bookmarkStart w:id="760" w:name="_Toc460422109"/>
      <w:bookmarkStart w:id="761" w:name="_Toc16551"/>
      <w:bookmarkStart w:id="762" w:name="_Toc8363"/>
      <w:bookmarkStart w:id="763" w:name="_Toc200513206"/>
      <w:bookmarkStart w:id="764" w:name="_Toc505783759"/>
      <w:bookmarkStart w:id="765" w:name="_Toc287607820"/>
      <w:bookmarkStart w:id="766" w:name="_Toc16000442"/>
      <w:bookmarkStart w:id="767" w:name="_Toc277082626"/>
      <w:bookmarkStart w:id="768" w:name="_Toc224103392"/>
      <w:bookmarkStart w:id="769" w:name="_Toc2157"/>
      <w:r>
        <w:rPr>
          <w:rFonts w:hint="eastAsia" w:ascii="宋体" w:hAnsi="宋体"/>
          <w:color w:val="auto"/>
          <w:highlight w:val="none"/>
        </w:rPr>
        <w:t>3.4  评标结果</w:t>
      </w:r>
      <w:bookmarkEnd w:id="760"/>
      <w:bookmarkEnd w:id="761"/>
      <w:bookmarkEnd w:id="762"/>
      <w:bookmarkEnd w:id="763"/>
      <w:bookmarkEnd w:id="764"/>
      <w:bookmarkEnd w:id="765"/>
      <w:bookmarkEnd w:id="766"/>
      <w:bookmarkEnd w:id="767"/>
      <w:bookmarkEnd w:id="768"/>
      <w:bookmarkEnd w:id="769"/>
    </w:p>
    <w:p w14:paraId="43F9F45E">
      <w:pPr>
        <w:autoSpaceDE w:val="0"/>
        <w:autoSpaceDN w:val="0"/>
        <w:adjustRightInd w:val="0"/>
        <w:snapToGrid w:val="0"/>
        <w:spacing w:line="360" w:lineRule="auto"/>
        <w:jc w:val="left"/>
        <w:rPr>
          <w:rFonts w:ascii="宋体" w:hAnsi="宋体" w:cs="MingLiU"/>
          <w:color w:val="auto"/>
          <w:kern w:val="0"/>
          <w:szCs w:val="21"/>
          <w:highlight w:val="none"/>
        </w:rPr>
      </w:pPr>
      <w:r>
        <w:rPr>
          <w:rFonts w:hint="eastAsia" w:ascii="宋体" w:hAnsi="宋体"/>
          <w:color w:val="auto"/>
          <w:kern w:val="0"/>
          <w:szCs w:val="21"/>
          <w:highlight w:val="none"/>
        </w:rPr>
        <w:t xml:space="preserve">     3.</w:t>
      </w:r>
      <w:r>
        <w:rPr>
          <w:rFonts w:hint="eastAsia" w:ascii="宋体" w:hAnsi="宋体"/>
          <w:color w:val="auto"/>
          <w:spacing w:val="-1"/>
          <w:kern w:val="0"/>
          <w:szCs w:val="21"/>
          <w:highlight w:val="none"/>
        </w:rPr>
        <w:t>4</w:t>
      </w:r>
      <w:r>
        <w:rPr>
          <w:rFonts w:hint="eastAsia" w:ascii="宋体" w:hAnsi="宋体"/>
          <w:color w:val="auto"/>
          <w:kern w:val="0"/>
          <w:szCs w:val="21"/>
          <w:highlight w:val="none"/>
        </w:rPr>
        <w:t xml:space="preserve">.1 </w:t>
      </w:r>
      <w:r>
        <w:rPr>
          <w:rFonts w:hint="eastAsia" w:ascii="宋体" w:hAnsi="宋体" w:cs="MingLiU"/>
          <w:color w:val="auto"/>
          <w:kern w:val="0"/>
          <w:szCs w:val="21"/>
          <w:highlight w:val="none"/>
        </w:rPr>
        <w:t>除第二章“比选申请人须知”前</w:t>
      </w:r>
      <w:r>
        <w:rPr>
          <w:rFonts w:hint="eastAsia" w:ascii="宋体" w:hAnsi="宋体" w:cs="MingLiU"/>
          <w:color w:val="auto"/>
          <w:spacing w:val="1"/>
          <w:kern w:val="0"/>
          <w:szCs w:val="21"/>
          <w:highlight w:val="none"/>
        </w:rPr>
        <w:t>附</w:t>
      </w:r>
      <w:r>
        <w:rPr>
          <w:rFonts w:hint="eastAsia" w:ascii="宋体" w:hAnsi="宋体" w:cs="MingLiU"/>
          <w:color w:val="auto"/>
          <w:kern w:val="0"/>
          <w:szCs w:val="21"/>
          <w:highlight w:val="none"/>
        </w:rPr>
        <w:t>表授权直</w:t>
      </w:r>
      <w:r>
        <w:rPr>
          <w:rFonts w:hint="eastAsia" w:ascii="宋体" w:hAnsi="宋体" w:cs="MingLiU"/>
          <w:color w:val="auto"/>
          <w:spacing w:val="1"/>
          <w:kern w:val="0"/>
          <w:szCs w:val="21"/>
          <w:highlight w:val="none"/>
        </w:rPr>
        <w:t>接</w:t>
      </w:r>
      <w:r>
        <w:rPr>
          <w:rFonts w:hint="eastAsia" w:ascii="宋体" w:hAnsi="宋体" w:cs="MingLiU"/>
          <w:color w:val="auto"/>
          <w:kern w:val="0"/>
          <w:szCs w:val="21"/>
          <w:highlight w:val="none"/>
        </w:rPr>
        <w:t>确定拟中选</w:t>
      </w:r>
      <w:r>
        <w:rPr>
          <w:rFonts w:hint="eastAsia" w:ascii="宋体" w:hAnsi="宋体" w:cs="MingLiU"/>
          <w:color w:val="auto"/>
          <w:spacing w:val="1"/>
          <w:kern w:val="0"/>
          <w:szCs w:val="21"/>
          <w:highlight w:val="none"/>
        </w:rPr>
        <w:t>人</w:t>
      </w:r>
      <w:r>
        <w:rPr>
          <w:rFonts w:hint="eastAsia" w:ascii="宋体" w:hAnsi="宋体" w:cs="MingLiU"/>
          <w:color w:val="auto"/>
          <w:kern w:val="0"/>
          <w:szCs w:val="21"/>
          <w:highlight w:val="none"/>
        </w:rPr>
        <w:t>外，评标</w:t>
      </w:r>
      <w:r>
        <w:rPr>
          <w:rFonts w:hint="eastAsia" w:ascii="宋体" w:hAnsi="宋体" w:cs="MingLiU"/>
          <w:color w:val="auto"/>
          <w:spacing w:val="1"/>
          <w:kern w:val="0"/>
          <w:szCs w:val="21"/>
          <w:highlight w:val="none"/>
        </w:rPr>
        <w:t>委</w:t>
      </w:r>
      <w:r>
        <w:rPr>
          <w:rFonts w:hint="eastAsia" w:ascii="宋体" w:hAnsi="宋体" w:cs="MingLiU"/>
          <w:color w:val="auto"/>
          <w:kern w:val="0"/>
          <w:szCs w:val="21"/>
          <w:highlight w:val="none"/>
        </w:rPr>
        <w:t>员会按照</w:t>
      </w:r>
      <w:r>
        <w:rPr>
          <w:rFonts w:hint="eastAsia" w:ascii="宋体" w:hAnsi="宋体" w:cs="MingLiU"/>
          <w:color w:val="auto"/>
          <w:spacing w:val="1"/>
          <w:kern w:val="0"/>
          <w:szCs w:val="21"/>
          <w:highlight w:val="none"/>
        </w:rPr>
        <w:t>得分</w:t>
      </w:r>
      <w:r>
        <w:rPr>
          <w:rFonts w:hint="eastAsia" w:ascii="宋体" w:hAnsi="宋体" w:cs="MingLiU"/>
          <w:color w:val="auto"/>
          <w:kern w:val="0"/>
          <w:szCs w:val="21"/>
          <w:highlight w:val="none"/>
        </w:rPr>
        <w:t>由高到低的顺序推荐拟中选候选人。</w:t>
      </w:r>
    </w:p>
    <w:p w14:paraId="61113C38">
      <w:pPr>
        <w:autoSpaceDE w:val="0"/>
        <w:autoSpaceDN w:val="0"/>
        <w:adjustRightInd w:val="0"/>
        <w:snapToGrid w:val="0"/>
        <w:spacing w:line="360" w:lineRule="auto"/>
        <w:jc w:val="left"/>
        <w:rPr>
          <w:rFonts w:ascii="宋体" w:hAnsi="宋体"/>
          <w:color w:val="auto"/>
          <w:kern w:val="0"/>
          <w:sz w:val="20"/>
          <w:szCs w:val="20"/>
          <w:highlight w:val="none"/>
        </w:rPr>
      </w:pPr>
      <w:r>
        <w:rPr>
          <w:rFonts w:hint="eastAsia" w:ascii="宋体" w:hAnsi="宋体"/>
          <w:color w:val="auto"/>
          <w:spacing w:val="1"/>
          <w:kern w:val="0"/>
          <w:szCs w:val="21"/>
          <w:highlight w:val="none"/>
        </w:rPr>
        <w:t xml:space="preserve">     3</w:t>
      </w:r>
      <w:r>
        <w:rPr>
          <w:rFonts w:hint="eastAsia" w:ascii="宋体" w:hAnsi="宋体"/>
          <w:color w:val="auto"/>
          <w:kern w:val="0"/>
          <w:szCs w:val="21"/>
          <w:highlight w:val="none"/>
        </w:rPr>
        <w:t xml:space="preserve">.4.2  </w:t>
      </w:r>
      <w:r>
        <w:rPr>
          <w:rFonts w:hint="eastAsia" w:ascii="宋体" w:hAnsi="宋体" w:cs="MingLiU"/>
          <w:color w:val="auto"/>
          <w:kern w:val="0"/>
          <w:szCs w:val="21"/>
          <w:highlight w:val="none"/>
        </w:rPr>
        <w:t>评标</w:t>
      </w:r>
      <w:r>
        <w:rPr>
          <w:rFonts w:hint="eastAsia" w:ascii="宋体" w:hAnsi="宋体" w:cs="MingLiU"/>
          <w:color w:val="auto"/>
          <w:spacing w:val="-1"/>
          <w:kern w:val="0"/>
          <w:szCs w:val="21"/>
          <w:highlight w:val="none"/>
        </w:rPr>
        <w:t>委</w:t>
      </w:r>
      <w:r>
        <w:rPr>
          <w:rFonts w:hint="eastAsia" w:ascii="宋体" w:hAnsi="宋体" w:cs="MingLiU"/>
          <w:color w:val="auto"/>
          <w:kern w:val="0"/>
          <w:szCs w:val="21"/>
          <w:highlight w:val="none"/>
        </w:rPr>
        <w:t>员会完成评标后，应当向比选人提交书面评标报告。</w:t>
      </w:r>
    </w:p>
    <w:p w14:paraId="1BB52EAB">
      <w:pPr>
        <w:pStyle w:val="2"/>
        <w:rPr>
          <w:color w:val="auto"/>
          <w:highlight w:val="none"/>
        </w:rPr>
      </w:pPr>
    </w:p>
    <w:p w14:paraId="00D172E1">
      <w:pPr>
        <w:pStyle w:val="3"/>
        <w:spacing w:line="360" w:lineRule="auto"/>
        <w:jc w:val="center"/>
        <w:rPr>
          <w:rFonts w:ascii="宋体" w:hAnsi="宋体"/>
          <w:color w:val="auto"/>
          <w:kern w:val="0"/>
          <w:highlight w:val="none"/>
        </w:rPr>
      </w:pPr>
      <w:bookmarkStart w:id="770" w:name="_Toc8427"/>
      <w:bookmarkStart w:id="771" w:name="_Toc509218785"/>
      <w:bookmarkStart w:id="772" w:name="_Toc430530509"/>
    </w:p>
    <w:p w14:paraId="0B86DA85">
      <w:pPr>
        <w:pStyle w:val="3"/>
        <w:spacing w:line="360" w:lineRule="auto"/>
        <w:jc w:val="center"/>
        <w:rPr>
          <w:rFonts w:ascii="宋体" w:hAnsi="宋体"/>
          <w:color w:val="auto"/>
          <w:kern w:val="0"/>
          <w:highlight w:val="none"/>
        </w:rPr>
      </w:pPr>
    </w:p>
    <w:p w14:paraId="765FDEBB">
      <w:pPr>
        <w:pStyle w:val="3"/>
        <w:spacing w:line="360" w:lineRule="auto"/>
        <w:jc w:val="center"/>
        <w:rPr>
          <w:rFonts w:ascii="宋体" w:hAnsi="宋体"/>
          <w:color w:val="auto"/>
          <w:kern w:val="0"/>
          <w:highlight w:val="none"/>
        </w:rPr>
      </w:pPr>
    </w:p>
    <w:p w14:paraId="0A17BCAF">
      <w:pPr>
        <w:pStyle w:val="3"/>
        <w:spacing w:line="360" w:lineRule="auto"/>
        <w:jc w:val="center"/>
        <w:rPr>
          <w:rFonts w:ascii="宋体" w:hAnsi="宋体"/>
          <w:color w:val="auto"/>
          <w:kern w:val="0"/>
          <w:highlight w:val="none"/>
        </w:rPr>
      </w:pPr>
    </w:p>
    <w:p w14:paraId="15E80231">
      <w:pPr>
        <w:pStyle w:val="3"/>
        <w:spacing w:line="360" w:lineRule="auto"/>
        <w:jc w:val="center"/>
        <w:rPr>
          <w:rFonts w:ascii="宋体" w:hAnsi="宋体"/>
          <w:color w:val="auto"/>
          <w:kern w:val="0"/>
          <w:highlight w:val="none"/>
        </w:rPr>
      </w:pPr>
    </w:p>
    <w:p w14:paraId="7B278E54">
      <w:pPr>
        <w:pStyle w:val="3"/>
        <w:spacing w:line="360" w:lineRule="auto"/>
        <w:jc w:val="center"/>
        <w:rPr>
          <w:rFonts w:ascii="宋体" w:hAnsi="宋体"/>
          <w:color w:val="auto"/>
          <w:kern w:val="0"/>
          <w:highlight w:val="none"/>
        </w:rPr>
      </w:pPr>
    </w:p>
    <w:p w14:paraId="74F29C3B">
      <w:pPr>
        <w:pStyle w:val="3"/>
        <w:spacing w:line="360" w:lineRule="auto"/>
        <w:jc w:val="center"/>
        <w:rPr>
          <w:rFonts w:ascii="宋体" w:hAnsi="宋体"/>
          <w:color w:val="auto"/>
          <w:kern w:val="0"/>
          <w:highlight w:val="none"/>
        </w:rPr>
      </w:pPr>
    </w:p>
    <w:p w14:paraId="0B5C02D3">
      <w:pPr>
        <w:pStyle w:val="3"/>
        <w:spacing w:line="360" w:lineRule="auto"/>
        <w:jc w:val="center"/>
        <w:rPr>
          <w:rFonts w:ascii="宋体" w:hAnsi="宋体"/>
          <w:color w:val="auto"/>
          <w:kern w:val="0"/>
          <w:highlight w:val="none"/>
        </w:rPr>
      </w:pPr>
    </w:p>
    <w:p w14:paraId="1FE1C0F1">
      <w:pPr>
        <w:pStyle w:val="3"/>
        <w:spacing w:line="360" w:lineRule="auto"/>
        <w:jc w:val="center"/>
        <w:rPr>
          <w:rFonts w:ascii="宋体" w:hAnsi="宋体"/>
          <w:color w:val="auto"/>
          <w:kern w:val="0"/>
          <w:highlight w:val="none"/>
        </w:rPr>
      </w:pPr>
    </w:p>
    <w:p w14:paraId="59B441C2">
      <w:pPr>
        <w:pStyle w:val="3"/>
        <w:spacing w:line="360" w:lineRule="auto"/>
        <w:jc w:val="center"/>
        <w:rPr>
          <w:rFonts w:ascii="宋体" w:hAnsi="宋体"/>
          <w:color w:val="auto"/>
          <w:kern w:val="0"/>
          <w:highlight w:val="none"/>
        </w:rPr>
      </w:pPr>
    </w:p>
    <w:p w14:paraId="1C73E43D">
      <w:pPr>
        <w:pStyle w:val="3"/>
        <w:spacing w:line="360" w:lineRule="auto"/>
        <w:jc w:val="center"/>
        <w:rPr>
          <w:rFonts w:ascii="宋体" w:hAnsi="宋体"/>
          <w:color w:val="auto"/>
          <w:kern w:val="0"/>
          <w:highlight w:val="none"/>
        </w:rPr>
      </w:pPr>
    </w:p>
    <w:p w14:paraId="68662644">
      <w:pPr>
        <w:rPr>
          <w:rFonts w:ascii="宋体" w:hAnsi="宋体"/>
          <w:color w:val="auto"/>
          <w:kern w:val="0"/>
          <w:highlight w:val="none"/>
        </w:rPr>
      </w:pPr>
    </w:p>
    <w:p w14:paraId="512ABE2D">
      <w:pPr>
        <w:pStyle w:val="2"/>
        <w:rPr>
          <w:rFonts w:ascii="宋体" w:hAnsi="宋体"/>
          <w:color w:val="auto"/>
          <w:kern w:val="0"/>
          <w:highlight w:val="none"/>
        </w:rPr>
      </w:pPr>
    </w:p>
    <w:p w14:paraId="41D996E1">
      <w:pPr>
        <w:rPr>
          <w:rFonts w:ascii="宋体" w:hAnsi="宋体"/>
          <w:color w:val="auto"/>
          <w:kern w:val="0"/>
          <w:highlight w:val="none"/>
        </w:rPr>
      </w:pPr>
    </w:p>
    <w:p w14:paraId="39161A48">
      <w:pPr>
        <w:pStyle w:val="2"/>
        <w:rPr>
          <w:color w:val="auto"/>
          <w:highlight w:val="none"/>
        </w:rPr>
      </w:pPr>
    </w:p>
    <w:p w14:paraId="2E39E8E1">
      <w:pPr>
        <w:pStyle w:val="3"/>
        <w:spacing w:line="360" w:lineRule="auto"/>
        <w:jc w:val="center"/>
        <w:rPr>
          <w:rFonts w:ascii="宋体" w:hAnsi="宋体"/>
          <w:color w:val="auto"/>
          <w:kern w:val="0"/>
          <w:highlight w:val="none"/>
        </w:rPr>
      </w:pPr>
      <w:bookmarkStart w:id="773" w:name="_Toc27038"/>
      <w:r>
        <w:rPr>
          <w:rFonts w:hint="eastAsia" w:ascii="宋体" w:hAnsi="宋体"/>
          <w:color w:val="auto"/>
          <w:kern w:val="0"/>
          <w:highlight w:val="none"/>
        </w:rPr>
        <w:t>第四章  合同条款及格式</w:t>
      </w:r>
      <w:bookmarkEnd w:id="770"/>
      <w:bookmarkEnd w:id="771"/>
      <w:bookmarkEnd w:id="772"/>
      <w:bookmarkEnd w:id="773"/>
    </w:p>
    <w:p w14:paraId="5CABE507">
      <w:pPr>
        <w:rPr>
          <w:rFonts w:ascii="宋体" w:hAnsi="宋体"/>
          <w:color w:val="auto"/>
          <w:sz w:val="44"/>
          <w:szCs w:val="44"/>
          <w:highlight w:val="none"/>
        </w:rPr>
      </w:pPr>
      <w:r>
        <w:rPr>
          <w:rFonts w:ascii="宋体" w:hAnsi="宋体"/>
          <w:color w:val="auto"/>
          <w:highlight w:val="none"/>
        </w:rPr>
        <w:br w:type="page"/>
      </w:r>
      <w:bookmarkStart w:id="774" w:name="_Toc296503025"/>
      <w:bookmarkStart w:id="775" w:name="_Toc351203480"/>
      <w:bookmarkStart w:id="776" w:name="_Toc296890982"/>
    </w:p>
    <w:p w14:paraId="5BE1A393">
      <w:pPr>
        <w:spacing w:line="360" w:lineRule="auto"/>
        <w:jc w:val="center"/>
        <w:rPr>
          <w:rFonts w:ascii="宋体" w:hAnsi="宋体"/>
          <w:color w:val="auto"/>
          <w:sz w:val="44"/>
          <w:szCs w:val="44"/>
          <w:highlight w:val="none"/>
        </w:rPr>
      </w:pPr>
      <w:r>
        <w:rPr>
          <w:rFonts w:hint="eastAsia" w:ascii="宋体" w:hAnsi="宋体"/>
          <w:color w:val="auto"/>
          <w:sz w:val="44"/>
          <w:szCs w:val="44"/>
          <w:highlight w:val="none"/>
        </w:rPr>
        <w:t>第一部分 合同协议书</w:t>
      </w:r>
    </w:p>
    <w:p w14:paraId="5EAF8201">
      <w:pPr>
        <w:pStyle w:val="137"/>
        <w:snapToGrid w:val="0"/>
        <w:spacing w:before="0" w:line="360" w:lineRule="auto"/>
        <w:ind w:firstLine="562" w:firstLineChars="200"/>
        <w:rPr>
          <w:rFonts w:ascii="宋体" w:hAnsi="宋体"/>
          <w:color w:val="auto"/>
          <w:highlight w:val="none"/>
        </w:rPr>
      </w:pPr>
    </w:p>
    <w:p w14:paraId="56D2E207">
      <w:pPr>
        <w:pStyle w:val="137"/>
        <w:snapToGrid w:val="0"/>
        <w:spacing w:before="0" w:line="360" w:lineRule="auto"/>
        <w:ind w:firstLine="480" w:firstLineChars="200"/>
        <w:rPr>
          <w:rFonts w:ascii="宋体" w:hAnsi="宋体"/>
          <w:b w:val="0"/>
          <w:i/>
          <w:color w:val="auto"/>
          <w:sz w:val="24"/>
          <w:szCs w:val="24"/>
          <w:highlight w:val="none"/>
        </w:rPr>
      </w:pPr>
      <w:bookmarkStart w:id="777" w:name="_Toc9255"/>
      <w:bookmarkStart w:id="778" w:name="_Toc28182"/>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合同协议书为示范性内容，比选人在编制比选文件时不必填写，供中标后签订合同时填写。</w:t>
      </w:r>
      <w:bookmarkEnd w:id="777"/>
      <w:bookmarkEnd w:id="778"/>
      <w:r>
        <w:rPr>
          <w:rFonts w:ascii="宋体" w:hAnsi="宋体"/>
          <w:b w:val="0"/>
          <w:i/>
          <w:color w:val="auto"/>
          <w:sz w:val="24"/>
          <w:szCs w:val="24"/>
          <w:highlight w:val="none"/>
        </w:rPr>
        <w:t>]</w:t>
      </w:r>
    </w:p>
    <w:p w14:paraId="46F0F478">
      <w:pPr>
        <w:rPr>
          <w:rFonts w:ascii="宋体" w:hAnsi="宋体"/>
          <w:b/>
          <w:color w:val="auto"/>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03AC48FB"/>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03AC48FB"/>
                  </w:txbxContent>
                </v:textbox>
              </v:rect>
            </w:pict>
          </mc:Fallback>
        </mc:AlternateContent>
      </w:r>
      <w:r>
        <w:rPr>
          <w:rFonts w:ascii="宋体" w:hAnsi="宋体"/>
          <w:color w:val="auto"/>
          <w:highlight w:val="none"/>
        </w:rPr>
        <w:br w:type="page"/>
      </w:r>
    </w:p>
    <w:p w14:paraId="73BECB93">
      <w:pPr>
        <w:widowControl/>
        <w:adjustRightInd w:val="0"/>
        <w:snapToGrid w:val="0"/>
        <w:spacing w:after="50" w:line="360" w:lineRule="auto"/>
        <w:jc w:val="center"/>
        <w:outlineLvl w:val="0"/>
        <w:rPr>
          <w:rFonts w:ascii="宋体" w:hAnsi="宋体" w:cs="宋体"/>
          <w:b/>
          <w:color w:val="auto"/>
          <w:kern w:val="44"/>
          <w:highlight w:val="none"/>
        </w:rPr>
      </w:pPr>
      <w:bookmarkStart w:id="779" w:name="_Toc2205"/>
      <w:bookmarkStart w:id="780" w:name="_Toc170932425"/>
      <w:bookmarkStart w:id="781" w:name="_Hlk59010609"/>
      <w:r>
        <w:rPr>
          <w:rFonts w:hint="eastAsia" w:ascii="宋体" w:hAnsi="宋体" w:cs="宋体"/>
          <w:b/>
          <w:color w:val="auto"/>
          <w:kern w:val="44"/>
          <w:szCs w:val="21"/>
          <w:highlight w:val="none"/>
          <w:lang w:bidi="ar"/>
        </w:rPr>
        <w:t>第一部分 合同协议书</w:t>
      </w:r>
      <w:bookmarkEnd w:id="779"/>
      <w:bookmarkEnd w:id="780"/>
    </w:p>
    <w:p w14:paraId="7F6044B0">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lang w:bidi="ar"/>
        </w:rPr>
        <w:t>发包人（全称）：</w:t>
      </w:r>
      <w:r>
        <w:rPr>
          <w:rFonts w:hint="eastAsia" w:ascii="宋体" w:hAnsi="宋体" w:cs="宋体"/>
          <w:color w:val="auto"/>
          <w:kern w:val="0"/>
          <w:szCs w:val="21"/>
          <w:highlight w:val="none"/>
          <w:u w:val="single"/>
          <w:lang w:bidi="ar"/>
        </w:rPr>
        <w:t xml:space="preserve">                                    </w:t>
      </w:r>
    </w:p>
    <w:p w14:paraId="563EF7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承包人（全称）：</w:t>
      </w:r>
      <w:r>
        <w:rPr>
          <w:rFonts w:hint="eastAsia" w:ascii="宋体" w:hAnsi="宋体" w:cs="宋体"/>
          <w:color w:val="auto"/>
          <w:kern w:val="0"/>
          <w:szCs w:val="21"/>
          <w:highlight w:val="none"/>
          <w:u w:val="single"/>
          <w:lang w:bidi="ar"/>
        </w:rPr>
        <w:t xml:space="preserve">                                    </w:t>
      </w:r>
    </w:p>
    <w:p w14:paraId="28598F2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根据《中华人民共和国民法典》、《中华人民共和国建筑法》及有关法律规定，遵循平等、自愿、公平和诚实信用的原则，双方就</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项目的工程施工及有关事项协商一致，共同达成如下协议：</w:t>
      </w:r>
    </w:p>
    <w:p w14:paraId="6F9B8F21">
      <w:pPr>
        <w:widowControl/>
        <w:adjustRightInd w:val="0"/>
        <w:snapToGrid w:val="0"/>
        <w:spacing w:after="163" w:afterLines="50" w:line="360" w:lineRule="auto"/>
        <w:jc w:val="left"/>
        <w:outlineLvl w:val="1"/>
        <w:rPr>
          <w:rFonts w:ascii="宋体" w:hAnsi="宋体" w:cs="宋体"/>
          <w:color w:val="auto"/>
          <w:kern w:val="0"/>
          <w:highlight w:val="none"/>
        </w:rPr>
      </w:pPr>
      <w:bookmarkStart w:id="782" w:name="_Toc20171710"/>
      <w:bookmarkEnd w:id="782"/>
      <w:bookmarkStart w:id="783" w:name="_Toc170932426"/>
      <w:bookmarkStart w:id="784" w:name="_Toc4512"/>
      <w:bookmarkStart w:id="785" w:name="_Toc18755"/>
      <w:bookmarkStart w:id="786" w:name="_Toc84930695"/>
      <w:bookmarkStart w:id="787" w:name="_Toc11635"/>
      <w:r>
        <w:rPr>
          <w:rFonts w:hint="eastAsia" w:ascii="宋体" w:hAnsi="宋体" w:cs="宋体"/>
          <w:color w:val="auto"/>
          <w:kern w:val="0"/>
          <w:szCs w:val="21"/>
          <w:highlight w:val="none"/>
          <w:lang w:bidi="ar"/>
        </w:rPr>
        <w:t>一、工程概况</w:t>
      </w:r>
      <w:bookmarkEnd w:id="783"/>
      <w:bookmarkEnd w:id="784"/>
      <w:bookmarkEnd w:id="785"/>
      <w:bookmarkEnd w:id="786"/>
      <w:bookmarkEnd w:id="787"/>
    </w:p>
    <w:p w14:paraId="5C5B4D7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 工程名称：</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1305465B">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 工程地点：</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0BD8358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 工程审批、核准或备案文号：</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6C68C0A7">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 资金来源：</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120605EE">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 工程内容及规模：</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7B074267">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 工程承包范围：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4C3C0E42">
      <w:pPr>
        <w:widowControl/>
        <w:adjustRightInd w:val="0"/>
        <w:snapToGrid w:val="0"/>
        <w:spacing w:after="163" w:afterLines="50" w:line="360" w:lineRule="auto"/>
        <w:jc w:val="left"/>
        <w:outlineLvl w:val="1"/>
        <w:rPr>
          <w:rFonts w:ascii="宋体" w:hAnsi="宋体" w:cs="宋体"/>
          <w:color w:val="auto"/>
          <w:kern w:val="0"/>
          <w:highlight w:val="none"/>
        </w:rPr>
      </w:pPr>
      <w:bookmarkStart w:id="788" w:name="_Toc20171711"/>
      <w:bookmarkEnd w:id="788"/>
      <w:bookmarkStart w:id="789" w:name="_Toc170932427"/>
      <w:bookmarkStart w:id="790" w:name="_Toc84930696"/>
      <w:bookmarkStart w:id="791" w:name="_Toc28239"/>
      <w:bookmarkStart w:id="792" w:name="_Toc31619"/>
      <w:bookmarkStart w:id="793" w:name="_Toc11949"/>
      <w:r>
        <w:rPr>
          <w:rFonts w:hint="eastAsia" w:ascii="宋体" w:hAnsi="宋体" w:cs="宋体"/>
          <w:color w:val="auto"/>
          <w:kern w:val="0"/>
          <w:szCs w:val="21"/>
          <w:highlight w:val="none"/>
          <w:lang w:bidi="ar"/>
        </w:rPr>
        <w:t>二、合同工期</w:t>
      </w:r>
      <w:bookmarkEnd w:id="789"/>
      <w:bookmarkEnd w:id="790"/>
      <w:bookmarkEnd w:id="791"/>
      <w:bookmarkEnd w:id="792"/>
      <w:bookmarkEnd w:id="793"/>
    </w:p>
    <w:p w14:paraId="1012AB6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计划开始工作日期：</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日。</w:t>
      </w:r>
    </w:p>
    <w:p w14:paraId="01DE062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计划开始现场施工日期：</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日。</w:t>
      </w:r>
    </w:p>
    <w:p w14:paraId="1971AC9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计划竣工日期：</w:t>
      </w:r>
      <w:r>
        <w:rPr>
          <w:rFonts w:hint="eastAsia" w:ascii="宋体" w:hAnsi="MingLiU_HKSCS" w:cs="MingLiU_HKSCS"/>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MingLiU_HKSCS" w:cs="MingLiU_HKSCS"/>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MingLiU_HKSCS" w:cs="MingLiU_HKSCS"/>
          <w:color w:val="auto"/>
          <w:kern w:val="0"/>
          <w:szCs w:val="21"/>
          <w:highlight w:val="none"/>
          <w:u w:val="single"/>
          <w:lang w:bidi="ar"/>
        </w:rPr>
        <w:t xml:space="preserve">     </w:t>
      </w:r>
      <w:r>
        <w:rPr>
          <w:rFonts w:hint="eastAsia" w:ascii="宋体" w:hAnsi="宋体" w:cs="宋体"/>
          <w:color w:val="auto"/>
          <w:kern w:val="0"/>
          <w:szCs w:val="21"/>
          <w:highlight w:val="none"/>
          <w:lang w:bidi="ar"/>
        </w:rPr>
        <w:t>日，实际竣工日期以工程竣工验收合格之日为准。</w:t>
      </w:r>
    </w:p>
    <w:p w14:paraId="0C686E9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工期总日历天数：</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天，工期总日历天数与根据前述计划日期计算的工期天数不一致的，以工期总日历天数为准。</w:t>
      </w:r>
    </w:p>
    <w:p w14:paraId="64215146">
      <w:pPr>
        <w:widowControl/>
        <w:adjustRightInd w:val="0"/>
        <w:snapToGrid w:val="0"/>
        <w:spacing w:after="163" w:afterLines="50" w:line="360" w:lineRule="auto"/>
        <w:jc w:val="left"/>
        <w:outlineLvl w:val="1"/>
        <w:rPr>
          <w:rFonts w:ascii="宋体" w:hAnsi="宋体" w:cs="宋体"/>
          <w:color w:val="auto"/>
          <w:kern w:val="0"/>
          <w:highlight w:val="none"/>
        </w:rPr>
      </w:pPr>
      <w:bookmarkStart w:id="794" w:name="_Toc20171712"/>
      <w:bookmarkEnd w:id="794"/>
      <w:bookmarkStart w:id="795" w:name="_Toc84930697"/>
      <w:bookmarkStart w:id="796" w:name="_Toc19011"/>
      <w:bookmarkStart w:id="797" w:name="_Toc16825"/>
      <w:bookmarkStart w:id="798" w:name="_Toc8498"/>
      <w:bookmarkStart w:id="799" w:name="_Toc170932428"/>
      <w:r>
        <w:rPr>
          <w:rFonts w:hint="eastAsia" w:ascii="宋体" w:hAnsi="宋体" w:cs="宋体"/>
          <w:color w:val="auto"/>
          <w:kern w:val="0"/>
          <w:szCs w:val="21"/>
          <w:highlight w:val="none"/>
          <w:lang w:bidi="ar"/>
        </w:rPr>
        <w:t>三、质量标准</w:t>
      </w:r>
      <w:bookmarkEnd w:id="795"/>
      <w:bookmarkEnd w:id="796"/>
      <w:bookmarkEnd w:id="797"/>
      <w:bookmarkEnd w:id="798"/>
      <w:bookmarkEnd w:id="799"/>
    </w:p>
    <w:p w14:paraId="31D24F6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工程施工质量标准：</w:t>
      </w:r>
      <w:r>
        <w:rPr>
          <w:rFonts w:hint="eastAsia" w:ascii="宋体" w:hAnsi="宋体" w:cs="宋体"/>
          <w:color w:val="auto"/>
          <w:kern w:val="0"/>
          <w:szCs w:val="21"/>
          <w:highlight w:val="none"/>
          <w:u w:val="single"/>
          <w:lang w:bidi="ar"/>
        </w:rPr>
        <w:t>工程质量符合强制性质量标准，符合国家和重庆市现行有关施工质量验收规范要求，并达到合格标准</w:t>
      </w:r>
      <w:r>
        <w:rPr>
          <w:rFonts w:hint="eastAsia" w:ascii="宋体" w:hAnsi="宋体" w:cs="宋体"/>
          <w:color w:val="auto"/>
          <w:kern w:val="0"/>
          <w:szCs w:val="21"/>
          <w:highlight w:val="none"/>
          <w:lang w:bidi="ar"/>
        </w:rPr>
        <w:t>。</w:t>
      </w:r>
    </w:p>
    <w:p w14:paraId="008E0722">
      <w:pPr>
        <w:widowControl/>
        <w:adjustRightInd w:val="0"/>
        <w:snapToGrid w:val="0"/>
        <w:spacing w:after="163" w:afterLines="50" w:line="360" w:lineRule="auto"/>
        <w:jc w:val="left"/>
        <w:outlineLvl w:val="1"/>
        <w:rPr>
          <w:rFonts w:ascii="宋体" w:hAnsi="宋体" w:cs="宋体"/>
          <w:color w:val="auto"/>
          <w:kern w:val="0"/>
          <w:highlight w:val="none"/>
        </w:rPr>
      </w:pPr>
      <w:bookmarkStart w:id="800" w:name="_Toc20171713"/>
      <w:bookmarkEnd w:id="800"/>
      <w:bookmarkStart w:id="801" w:name="_Toc24355"/>
      <w:bookmarkStart w:id="802" w:name="_Toc8024"/>
      <w:bookmarkStart w:id="803" w:name="_Toc170932429"/>
      <w:bookmarkStart w:id="804" w:name="_Toc10040"/>
      <w:bookmarkStart w:id="805" w:name="_Toc84930698"/>
      <w:r>
        <w:rPr>
          <w:rFonts w:hint="eastAsia" w:ascii="宋体" w:hAnsi="宋体" w:cs="宋体"/>
          <w:color w:val="auto"/>
          <w:kern w:val="0"/>
          <w:szCs w:val="21"/>
          <w:highlight w:val="none"/>
          <w:lang w:bidi="ar"/>
        </w:rPr>
        <w:t>四、签约合同价与合同价格形式</w:t>
      </w:r>
      <w:bookmarkEnd w:id="801"/>
      <w:bookmarkEnd w:id="802"/>
      <w:bookmarkEnd w:id="803"/>
      <w:bookmarkEnd w:id="804"/>
      <w:bookmarkEnd w:id="805"/>
    </w:p>
    <w:p w14:paraId="334AE20F">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 签约合同价（含税）为：</w:t>
      </w:r>
    </w:p>
    <w:p w14:paraId="6E10831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人民币（大写)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元）。</w:t>
      </w:r>
    </w:p>
    <w:p w14:paraId="15488F2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具体构成详见价格清单。其中： </w:t>
      </w:r>
    </w:p>
    <w:p w14:paraId="5E90B04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（1）建筑安装工程费（含税）：</w:t>
      </w:r>
    </w:p>
    <w:p w14:paraId="3549E8B0">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人民币（大写)</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元）；</w:t>
      </w:r>
      <w:r>
        <w:rPr>
          <w:rFonts w:hint="eastAsia" w:ascii="宋体" w:hAnsi="宋体" w:cs="宋体"/>
          <w:color w:val="auto"/>
          <w:szCs w:val="21"/>
          <w:highlight w:val="none"/>
          <w:lang w:bidi="ar"/>
        </w:rPr>
        <w:t>□固定费率：</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%；适用税率：</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%，税金为人民币（大写)</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 xml:space="preserve">元）； </w:t>
      </w:r>
    </w:p>
    <w:p w14:paraId="20CA8CF3">
      <w:pPr>
        <w:pStyle w:val="2"/>
        <w:ind w:firstLine="420" w:firstLineChars="200"/>
        <w:rPr>
          <w:color w:val="auto"/>
          <w:highlight w:val="none"/>
        </w:rPr>
      </w:pPr>
      <w:r>
        <w:rPr>
          <w:rFonts w:hint="eastAsia"/>
          <w:color w:val="auto"/>
          <w:highlight w:val="none"/>
        </w:rPr>
        <w:t>（2）安全文明施工费：</w:t>
      </w:r>
    </w:p>
    <w:p w14:paraId="0D56A65C">
      <w:pPr>
        <w:pStyle w:val="2"/>
        <w:ind w:firstLine="420" w:firstLineChars="200"/>
        <w:rPr>
          <w:color w:val="auto"/>
          <w:highlight w:val="none"/>
        </w:rPr>
      </w:pPr>
      <w:r>
        <w:rPr>
          <w:rFonts w:hint="eastAsia"/>
          <w:color w:val="auto"/>
          <w:highlight w:val="none"/>
        </w:rPr>
        <w:t>人民币（大写）</w:t>
      </w:r>
      <w:r>
        <w:rPr>
          <w:rFonts w:hint="eastAsia"/>
          <w:color w:val="auto"/>
          <w:highlight w:val="none"/>
          <w:u w:val="single"/>
        </w:rPr>
        <w:t xml:space="preserve">          </w:t>
      </w:r>
      <w:r>
        <w:rPr>
          <w:rFonts w:hint="eastAsia"/>
          <w:color w:val="auto"/>
          <w:highlight w:val="none"/>
        </w:rPr>
        <w:t>（¥</w:t>
      </w:r>
      <w:r>
        <w:rPr>
          <w:rFonts w:hint="eastAsia"/>
          <w:color w:val="auto"/>
          <w:highlight w:val="none"/>
          <w:u w:val="single"/>
        </w:rPr>
        <w:t xml:space="preserve">        </w:t>
      </w:r>
      <w:r>
        <w:rPr>
          <w:rFonts w:hint="eastAsia"/>
          <w:color w:val="auto"/>
          <w:highlight w:val="none"/>
        </w:rPr>
        <w:t>元）；</w:t>
      </w:r>
    </w:p>
    <w:p w14:paraId="3F120AD1">
      <w:pPr>
        <w:pStyle w:val="2"/>
        <w:rPr>
          <w:color w:val="auto"/>
          <w:highlight w:val="none"/>
        </w:rPr>
      </w:pPr>
    </w:p>
    <w:p w14:paraId="2F784E1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w:t>
      </w:r>
      <w:r>
        <w:rPr>
          <w:rFonts w:hint="eastAsia"/>
          <w:color w:val="auto"/>
          <w:highlight w:val="none"/>
        </w:rPr>
        <w:t>材料和工程设备暂估价</w:t>
      </w:r>
      <w:r>
        <w:rPr>
          <w:rFonts w:hint="eastAsia" w:ascii="宋体" w:hAnsi="宋体" w:cs="宋体"/>
          <w:color w:val="auto"/>
          <w:kern w:val="0"/>
          <w:szCs w:val="21"/>
          <w:highlight w:val="none"/>
          <w:lang w:bidi="ar"/>
        </w:rPr>
        <w:t>（含税）：</w:t>
      </w:r>
    </w:p>
    <w:p w14:paraId="672CA747">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人民币（大写)</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元）</w:t>
      </w:r>
      <w:r>
        <w:rPr>
          <w:rFonts w:hint="eastAsia"/>
          <w:color w:val="auto"/>
          <w:highlight w:val="none"/>
        </w:rPr>
        <w:t>；</w:t>
      </w:r>
    </w:p>
    <w:p w14:paraId="1956BAF3">
      <w:pPr>
        <w:pStyle w:val="2"/>
        <w:ind w:firstLine="420" w:firstLineChars="200"/>
        <w:rPr>
          <w:color w:val="auto"/>
          <w:highlight w:val="none"/>
        </w:rPr>
      </w:pPr>
      <w:r>
        <w:rPr>
          <w:rFonts w:hint="eastAsia"/>
          <w:color w:val="auto"/>
          <w:highlight w:val="none"/>
        </w:rPr>
        <w:t>（4）专业工程暂估价金额</w:t>
      </w:r>
      <w:r>
        <w:rPr>
          <w:rFonts w:hint="eastAsia" w:ascii="宋体" w:hAnsi="宋体" w:cs="宋体"/>
          <w:color w:val="auto"/>
          <w:kern w:val="0"/>
          <w:szCs w:val="21"/>
          <w:highlight w:val="none"/>
          <w:lang w:bidi="ar"/>
        </w:rPr>
        <w:t>（含税）：</w:t>
      </w:r>
    </w:p>
    <w:p w14:paraId="62175385">
      <w:pPr>
        <w:pStyle w:val="2"/>
        <w:ind w:firstLine="420" w:firstLineChars="200"/>
        <w:rPr>
          <w:color w:val="auto"/>
          <w:highlight w:val="none"/>
        </w:rPr>
      </w:pPr>
      <w:r>
        <w:rPr>
          <w:rFonts w:hint="eastAsia" w:ascii="宋体" w:hAnsi="宋体" w:cs="宋体"/>
          <w:color w:val="auto"/>
          <w:kern w:val="0"/>
          <w:szCs w:val="21"/>
          <w:highlight w:val="none"/>
          <w:lang w:bidi="ar"/>
        </w:rPr>
        <w:t>人民币（大写)</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元）</w:t>
      </w:r>
      <w:r>
        <w:rPr>
          <w:rFonts w:hint="eastAsia"/>
          <w:color w:val="auto"/>
          <w:highlight w:val="none"/>
        </w:rPr>
        <w:t>；</w:t>
      </w:r>
    </w:p>
    <w:p w14:paraId="7FA05E3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（5）暂列金额（含税）：</w:t>
      </w:r>
    </w:p>
    <w:p w14:paraId="00F6EAB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人民币（大写)</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元）。</w:t>
      </w:r>
    </w:p>
    <w:p w14:paraId="454621C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（6）双方约定的其他费用（含税）：</w:t>
      </w:r>
    </w:p>
    <w:p w14:paraId="1BD964C9">
      <w:pPr>
        <w:widowControl/>
        <w:adjustRightInd w:val="0"/>
        <w:snapToGrid w:val="0"/>
        <w:spacing w:after="163" w:afterLines="50"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人民币（大写)</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元）；适用税率：</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%，税金为人民币（大写)</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元）。</w:t>
      </w:r>
    </w:p>
    <w:p w14:paraId="7829AA6C">
      <w:pPr>
        <w:pStyle w:val="2"/>
        <w:ind w:firstLine="420" w:firstLineChars="200"/>
        <w:rPr>
          <w:color w:val="auto"/>
          <w:highlight w:val="none"/>
        </w:rPr>
      </w:pPr>
      <w:r>
        <w:rPr>
          <w:rFonts w:hint="eastAsia"/>
          <w:color w:val="auto"/>
          <w:highlight w:val="none"/>
        </w:rPr>
        <w:t>（7）人工费（工资款）</w:t>
      </w:r>
    </w:p>
    <w:p w14:paraId="1BF6D24A">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该项目实行人工费（工资款）与其他工程款分账管理，发包人将应付工程款中的人工费（工资款），以已完工产值的15% ，农民工工资单独支付至农民工专用账户。</w:t>
      </w:r>
    </w:p>
    <w:p w14:paraId="745713B4">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 合同价格形式：</w:t>
      </w:r>
    </w:p>
    <w:p w14:paraId="2E9C109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MS Gothic" w:hAnsi="MS Gothic" w:eastAsia="MS Gothic" w:cs="MS Gothic"/>
          <w:color w:val="auto"/>
          <w:szCs w:val="21"/>
          <w:highlight w:val="none"/>
          <w:lang w:bidi="ar"/>
        </w:rPr>
        <w:t>☑</w:t>
      </w:r>
      <w:r>
        <w:rPr>
          <w:rFonts w:hint="eastAsia" w:ascii="宋体" w:hAnsi="宋体" w:cs="宋体"/>
          <w:color w:val="auto"/>
          <w:kern w:val="0"/>
          <w:szCs w:val="21"/>
          <w:highlight w:val="none"/>
          <w:lang w:bidi="ar"/>
        </w:rPr>
        <w:t>合同价格形式为固定单价/费率合同，除根据合同约定的在工程实施过程中需进行增减的款项外，固定单价/费率不予调整，但合同当事人另有约定的除外。</w:t>
      </w:r>
    </w:p>
    <w:p w14:paraId="49B93C3D">
      <w:pPr>
        <w:widowControl/>
        <w:kinsoku w:val="0"/>
        <w:adjustRightInd w:val="0"/>
        <w:snapToGrid w:val="0"/>
        <w:spacing w:after="163" w:afterLines="50" w:line="360" w:lineRule="auto"/>
        <w:ind w:left="263" w:leftChars="125" w:firstLine="210" w:firstLineChars="100"/>
        <w:jc w:val="left"/>
        <w:rPr>
          <w:rFonts w:ascii="宋体" w:hAnsi="宋体" w:cs="宋体"/>
          <w:color w:val="auto"/>
          <w:kern w:val="0"/>
          <w:highlight w:val="none"/>
        </w:rPr>
      </w:pPr>
      <w:r>
        <w:rPr>
          <w:rFonts w:hint="eastAsia" w:ascii="宋体" w:hAnsi="宋体" w:cs="宋体"/>
          <w:color w:val="auto"/>
          <w:kern w:val="0"/>
          <w:szCs w:val="21"/>
          <w:highlight w:val="none"/>
          <w:lang w:bidi="ar"/>
        </w:rPr>
        <w:t>合同当事人对合同价格形式的其他约定：</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2D2ADDC2">
      <w:pPr>
        <w:widowControl/>
        <w:adjustRightInd w:val="0"/>
        <w:snapToGrid w:val="0"/>
        <w:spacing w:after="163" w:afterLines="50" w:line="360" w:lineRule="auto"/>
        <w:jc w:val="left"/>
        <w:outlineLvl w:val="1"/>
        <w:rPr>
          <w:rFonts w:ascii="宋体" w:hAnsi="宋体" w:cs="宋体"/>
          <w:color w:val="auto"/>
          <w:kern w:val="0"/>
          <w:highlight w:val="none"/>
        </w:rPr>
      </w:pPr>
      <w:bookmarkStart w:id="806" w:name="_Toc84930699"/>
      <w:bookmarkStart w:id="807" w:name="_Toc10601"/>
      <w:bookmarkStart w:id="808" w:name="_Toc29030"/>
      <w:bookmarkStart w:id="809" w:name="_Toc170932430"/>
      <w:bookmarkStart w:id="810" w:name="_Toc11124"/>
      <w:r>
        <w:rPr>
          <w:rFonts w:hint="eastAsia" w:ascii="宋体" w:hAnsi="宋体" w:cs="宋体"/>
          <w:color w:val="auto"/>
          <w:kern w:val="0"/>
          <w:szCs w:val="21"/>
          <w:highlight w:val="none"/>
          <w:lang w:bidi="ar"/>
        </w:rPr>
        <w:t>五、工程主要管理人员</w:t>
      </w:r>
      <w:bookmarkEnd w:id="806"/>
      <w:bookmarkEnd w:id="807"/>
      <w:bookmarkEnd w:id="808"/>
      <w:bookmarkEnd w:id="809"/>
      <w:bookmarkEnd w:id="810"/>
    </w:p>
    <w:p w14:paraId="1A4AADA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项目经理：</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74D5282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施工负责人：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42153222">
      <w:pPr>
        <w:widowControl/>
        <w:adjustRightInd w:val="0"/>
        <w:snapToGrid w:val="0"/>
        <w:spacing w:after="163" w:afterLines="50" w:line="360" w:lineRule="auto"/>
        <w:jc w:val="left"/>
        <w:outlineLvl w:val="1"/>
        <w:rPr>
          <w:rFonts w:ascii="宋体" w:hAnsi="宋体" w:cs="宋体"/>
          <w:color w:val="auto"/>
          <w:kern w:val="0"/>
          <w:highlight w:val="none"/>
        </w:rPr>
      </w:pPr>
      <w:bookmarkStart w:id="811" w:name="_Toc20171715"/>
      <w:bookmarkEnd w:id="811"/>
      <w:bookmarkStart w:id="812" w:name="_Toc170932431"/>
      <w:bookmarkStart w:id="813" w:name="_Toc14745"/>
      <w:bookmarkStart w:id="814" w:name="_Toc22089"/>
      <w:bookmarkStart w:id="815" w:name="_Toc84930700"/>
      <w:bookmarkStart w:id="816" w:name="_Toc27886"/>
      <w:r>
        <w:rPr>
          <w:rFonts w:hint="eastAsia" w:ascii="宋体" w:hAnsi="宋体" w:cs="宋体"/>
          <w:color w:val="auto"/>
          <w:kern w:val="0"/>
          <w:szCs w:val="21"/>
          <w:highlight w:val="none"/>
          <w:lang w:bidi="ar"/>
        </w:rPr>
        <w:t>六、合同文件构成</w:t>
      </w:r>
      <w:bookmarkEnd w:id="812"/>
      <w:bookmarkEnd w:id="813"/>
      <w:bookmarkEnd w:id="814"/>
      <w:bookmarkEnd w:id="815"/>
      <w:bookmarkEnd w:id="816"/>
    </w:p>
    <w:p w14:paraId="3131526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本协议书与下列文件一起构成合同文件： </w:t>
      </w:r>
    </w:p>
    <w:p w14:paraId="6F5F869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（1）中标通知书（如果有）；</w:t>
      </w:r>
    </w:p>
    <w:p w14:paraId="15133C2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（2）投标函及投标函附录（如果有）；</w:t>
      </w:r>
    </w:p>
    <w:p w14:paraId="3631D1C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（3）专用合同条件及《发包人要求》等附件；</w:t>
      </w:r>
    </w:p>
    <w:p w14:paraId="23C993B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（4）通用合同条件；</w:t>
      </w:r>
    </w:p>
    <w:p w14:paraId="09641F0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（5）比选文件及其澄清修改文件；</w:t>
      </w:r>
    </w:p>
    <w:p w14:paraId="2AD7F8F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（6）比选申请文件和（或）承包人建议书； </w:t>
      </w:r>
    </w:p>
    <w:p w14:paraId="522D911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（7）价格清单（如果有）；</w:t>
      </w:r>
    </w:p>
    <w:p w14:paraId="28A32FF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（8）双方约定的其他合同文件。</w:t>
      </w:r>
    </w:p>
    <w:p w14:paraId="194860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上述各项合同文件包括双方就该项合同文件所作出的补充和修改，属于同一类内容的合同文件应以最新签署的为准。专用合同条件及其附件须经合同当事人签名或盖章。</w:t>
      </w:r>
    </w:p>
    <w:p w14:paraId="26EAED22">
      <w:pPr>
        <w:widowControl/>
        <w:adjustRightInd w:val="0"/>
        <w:snapToGrid w:val="0"/>
        <w:spacing w:after="163" w:afterLines="50" w:line="360" w:lineRule="auto"/>
        <w:jc w:val="left"/>
        <w:outlineLvl w:val="1"/>
        <w:rPr>
          <w:rFonts w:ascii="宋体" w:hAnsi="宋体" w:cs="宋体"/>
          <w:color w:val="auto"/>
          <w:kern w:val="0"/>
          <w:highlight w:val="none"/>
        </w:rPr>
      </w:pPr>
      <w:bookmarkStart w:id="817" w:name="_Toc20171716"/>
      <w:bookmarkEnd w:id="817"/>
      <w:bookmarkStart w:id="818" w:name="_Toc24310"/>
      <w:bookmarkStart w:id="819" w:name="_Toc19950"/>
      <w:bookmarkStart w:id="820" w:name="_Toc84930701"/>
      <w:bookmarkStart w:id="821" w:name="_Toc170932432"/>
      <w:bookmarkStart w:id="822" w:name="_Toc32738"/>
      <w:r>
        <w:rPr>
          <w:rFonts w:hint="eastAsia" w:ascii="宋体" w:hAnsi="宋体" w:cs="宋体"/>
          <w:color w:val="auto"/>
          <w:kern w:val="0"/>
          <w:szCs w:val="21"/>
          <w:highlight w:val="none"/>
          <w:lang w:bidi="ar"/>
        </w:rPr>
        <w:t>七、承诺</w:t>
      </w:r>
      <w:bookmarkEnd w:id="818"/>
      <w:bookmarkEnd w:id="819"/>
      <w:bookmarkEnd w:id="820"/>
      <w:bookmarkEnd w:id="821"/>
      <w:bookmarkEnd w:id="822"/>
    </w:p>
    <w:p w14:paraId="673C075F">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 发包人承诺按照法律规定履行项目审批手续、筹集工程建设资金并按照合同约定的期限和方式支付合同价款。</w:t>
      </w:r>
    </w:p>
    <w:p w14:paraId="215A5B00">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 承包人承诺按照法律规定及合同约定组织完成工程施工等工作，确保工程质量和安全，不进行转包及违法分包，并在缺陷责任期及保修期内承担相应的工程维修责任。</w:t>
      </w:r>
    </w:p>
    <w:p w14:paraId="2A4611BB">
      <w:pPr>
        <w:widowControl/>
        <w:adjustRightInd w:val="0"/>
        <w:snapToGrid w:val="0"/>
        <w:spacing w:after="163" w:afterLines="50" w:line="360" w:lineRule="auto"/>
        <w:jc w:val="left"/>
        <w:outlineLvl w:val="1"/>
        <w:rPr>
          <w:rFonts w:ascii="宋体" w:hAnsi="宋体" w:cs="宋体"/>
          <w:color w:val="auto"/>
          <w:kern w:val="0"/>
          <w:highlight w:val="none"/>
        </w:rPr>
      </w:pPr>
      <w:bookmarkStart w:id="823" w:name="_Toc20171717"/>
      <w:bookmarkEnd w:id="823"/>
      <w:bookmarkStart w:id="824" w:name="_Toc30228"/>
      <w:bookmarkStart w:id="825" w:name="_Toc84930702"/>
      <w:bookmarkStart w:id="826" w:name="_Toc24197"/>
      <w:bookmarkStart w:id="827" w:name="_Toc170932433"/>
      <w:bookmarkStart w:id="828" w:name="_Toc14460"/>
      <w:r>
        <w:rPr>
          <w:rFonts w:hint="eastAsia" w:ascii="宋体" w:hAnsi="宋体" w:cs="宋体"/>
          <w:color w:val="auto"/>
          <w:kern w:val="0"/>
          <w:szCs w:val="21"/>
          <w:highlight w:val="none"/>
          <w:lang w:bidi="ar"/>
        </w:rPr>
        <w:t>八、订立时间</w:t>
      </w:r>
      <w:bookmarkEnd w:id="824"/>
      <w:bookmarkEnd w:id="825"/>
      <w:bookmarkEnd w:id="826"/>
      <w:bookmarkEnd w:id="827"/>
      <w:bookmarkEnd w:id="828"/>
    </w:p>
    <w:p w14:paraId="00C3960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本合同于</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日订立。</w:t>
      </w:r>
    </w:p>
    <w:p w14:paraId="486E7607">
      <w:pPr>
        <w:widowControl/>
        <w:adjustRightInd w:val="0"/>
        <w:snapToGrid w:val="0"/>
        <w:spacing w:after="163" w:afterLines="50" w:line="360" w:lineRule="auto"/>
        <w:jc w:val="left"/>
        <w:outlineLvl w:val="1"/>
        <w:rPr>
          <w:rFonts w:ascii="宋体" w:hAnsi="宋体" w:cs="宋体"/>
          <w:color w:val="auto"/>
          <w:kern w:val="0"/>
          <w:highlight w:val="none"/>
        </w:rPr>
      </w:pPr>
      <w:bookmarkStart w:id="829" w:name="_Toc20171718"/>
      <w:bookmarkEnd w:id="829"/>
      <w:bookmarkStart w:id="830" w:name="_Toc4976"/>
      <w:bookmarkStart w:id="831" w:name="_Toc170932434"/>
      <w:bookmarkStart w:id="832" w:name="_Toc84930703"/>
      <w:bookmarkStart w:id="833" w:name="_Toc2658"/>
      <w:bookmarkStart w:id="834" w:name="_Toc31891"/>
      <w:r>
        <w:rPr>
          <w:rFonts w:hint="eastAsia" w:ascii="宋体" w:hAnsi="宋体" w:cs="宋体"/>
          <w:color w:val="auto"/>
          <w:kern w:val="0"/>
          <w:szCs w:val="21"/>
          <w:highlight w:val="none"/>
          <w:lang w:bidi="ar"/>
        </w:rPr>
        <w:t>九、订立地点</w:t>
      </w:r>
      <w:bookmarkEnd w:id="830"/>
      <w:bookmarkEnd w:id="831"/>
      <w:bookmarkEnd w:id="832"/>
      <w:bookmarkEnd w:id="833"/>
      <w:bookmarkEnd w:id="834"/>
    </w:p>
    <w:p w14:paraId="55F1E30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本合同在</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订立。</w:t>
      </w:r>
    </w:p>
    <w:p w14:paraId="54D5537D">
      <w:pPr>
        <w:widowControl/>
        <w:adjustRightInd w:val="0"/>
        <w:snapToGrid w:val="0"/>
        <w:spacing w:after="163" w:afterLines="50" w:line="360" w:lineRule="auto"/>
        <w:jc w:val="left"/>
        <w:outlineLvl w:val="1"/>
        <w:rPr>
          <w:rFonts w:ascii="宋体" w:hAnsi="宋体" w:cs="宋体"/>
          <w:color w:val="auto"/>
          <w:kern w:val="0"/>
          <w:highlight w:val="none"/>
        </w:rPr>
      </w:pPr>
      <w:bookmarkStart w:id="835" w:name="_Toc20171719"/>
      <w:bookmarkEnd w:id="835"/>
      <w:bookmarkStart w:id="836" w:name="_Toc84930704"/>
      <w:bookmarkStart w:id="837" w:name="_Toc17789"/>
      <w:bookmarkStart w:id="838" w:name="_Toc170932435"/>
      <w:bookmarkStart w:id="839" w:name="_Toc18728"/>
      <w:bookmarkStart w:id="840" w:name="_Toc7340"/>
      <w:r>
        <w:rPr>
          <w:rFonts w:hint="eastAsia" w:ascii="宋体" w:hAnsi="宋体" w:cs="宋体"/>
          <w:color w:val="auto"/>
          <w:kern w:val="0"/>
          <w:szCs w:val="21"/>
          <w:highlight w:val="none"/>
          <w:lang w:bidi="ar"/>
        </w:rPr>
        <w:t>十、合同生效</w:t>
      </w:r>
      <w:bookmarkEnd w:id="836"/>
      <w:bookmarkEnd w:id="837"/>
      <w:bookmarkEnd w:id="838"/>
      <w:bookmarkEnd w:id="839"/>
      <w:bookmarkEnd w:id="840"/>
    </w:p>
    <w:p w14:paraId="5EAF04C7">
      <w:pPr>
        <w:widowControl/>
        <w:wordWrap w:val="0"/>
        <w:topLinePunct/>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本合同在以下条件全部满足之后生效：</w:t>
      </w:r>
    </w:p>
    <w:p w14:paraId="658AB27B">
      <w:pPr>
        <w:widowControl/>
        <w:wordWrap w:val="0"/>
        <w:topLinePunct/>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1.经双方法定代表人或其委托代理人签名并加盖公章或合同专用章；</w:t>
      </w:r>
    </w:p>
    <w:p w14:paraId="2F47801D">
      <w:pPr>
        <w:widowControl/>
        <w:wordWrap w:val="0"/>
        <w:topLinePunct/>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2.采用保函形式递交履约担保的，承包人按合同约定向发包人提交履约担保后；</w:t>
      </w:r>
    </w:p>
    <w:p w14:paraId="5A78E16F">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w:t>
      </w:r>
      <w:r>
        <w:rPr>
          <w:rFonts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334A0271">
      <w:pPr>
        <w:widowControl/>
        <w:adjustRightInd w:val="0"/>
        <w:snapToGrid w:val="0"/>
        <w:spacing w:after="163" w:afterLines="50" w:line="360" w:lineRule="auto"/>
        <w:jc w:val="left"/>
        <w:outlineLvl w:val="1"/>
        <w:rPr>
          <w:rFonts w:ascii="宋体" w:hAnsi="宋体" w:cs="宋体"/>
          <w:color w:val="auto"/>
          <w:kern w:val="0"/>
          <w:highlight w:val="none"/>
        </w:rPr>
      </w:pPr>
      <w:bookmarkStart w:id="841" w:name="_Toc20171720"/>
      <w:bookmarkEnd w:id="841"/>
      <w:bookmarkStart w:id="842" w:name="_Toc22497"/>
      <w:bookmarkStart w:id="843" w:name="_Toc14425"/>
      <w:bookmarkStart w:id="844" w:name="_Toc84930705"/>
      <w:bookmarkStart w:id="845" w:name="_Toc170932436"/>
      <w:bookmarkStart w:id="846" w:name="_Toc13067"/>
      <w:r>
        <w:rPr>
          <w:rFonts w:hint="eastAsia" w:ascii="宋体" w:hAnsi="宋体" w:cs="宋体"/>
          <w:color w:val="auto"/>
          <w:kern w:val="0"/>
          <w:szCs w:val="21"/>
          <w:highlight w:val="none"/>
          <w:lang w:bidi="ar"/>
        </w:rPr>
        <w:t>十一、合同份数</w:t>
      </w:r>
      <w:bookmarkEnd w:id="842"/>
      <w:bookmarkEnd w:id="843"/>
      <w:bookmarkEnd w:id="844"/>
      <w:bookmarkEnd w:id="845"/>
      <w:bookmarkEnd w:id="846"/>
    </w:p>
    <w:p w14:paraId="45BF663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本合同一式</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份，均具有同等法律效力，发包人执</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份，承包人执</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份。</w:t>
      </w:r>
    </w:p>
    <w:p w14:paraId="48244F4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2D98665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tbl>
      <w:tblPr>
        <w:tblStyle w:val="46"/>
        <w:tblW w:w="9072" w:type="dxa"/>
        <w:tblInd w:w="135" w:type="dxa"/>
        <w:tblLayout w:type="fixed"/>
        <w:tblCellMar>
          <w:top w:w="0" w:type="dxa"/>
          <w:left w:w="108" w:type="dxa"/>
          <w:bottom w:w="0" w:type="dxa"/>
          <w:right w:w="108" w:type="dxa"/>
        </w:tblCellMar>
      </w:tblPr>
      <w:tblGrid>
        <w:gridCol w:w="4507"/>
        <w:gridCol w:w="4565"/>
      </w:tblGrid>
      <w:tr w14:paraId="31A062BA">
        <w:tblPrEx>
          <w:tblCellMar>
            <w:top w:w="0" w:type="dxa"/>
            <w:left w:w="108" w:type="dxa"/>
            <w:bottom w:w="0" w:type="dxa"/>
            <w:right w:w="108" w:type="dxa"/>
          </w:tblCellMar>
        </w:tblPrEx>
        <w:tc>
          <w:tcPr>
            <w:tcW w:w="4507" w:type="dxa"/>
            <w:shd w:val="clear" w:color="auto" w:fill="auto"/>
          </w:tcPr>
          <w:p w14:paraId="6B2A3C10">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发包人：（公章）</w:t>
            </w:r>
          </w:p>
          <w:p w14:paraId="791CE758">
            <w:pPr>
              <w:widowControl/>
              <w:adjustRightInd w:val="0"/>
              <w:snapToGrid w:val="0"/>
              <w:spacing w:after="50" w:line="360" w:lineRule="auto"/>
              <w:jc w:val="left"/>
              <w:rPr>
                <w:rFonts w:ascii="宋体" w:hAnsi="宋体" w:cs="宋体"/>
                <w:color w:val="auto"/>
                <w:kern w:val="0"/>
                <w:highlight w:val="none"/>
              </w:rPr>
            </w:pPr>
          </w:p>
          <w:p w14:paraId="44822BA0">
            <w:pPr>
              <w:widowControl/>
              <w:adjustRightInd w:val="0"/>
              <w:snapToGrid w:val="0"/>
              <w:spacing w:after="50" w:line="360" w:lineRule="auto"/>
              <w:jc w:val="left"/>
              <w:rPr>
                <w:rFonts w:ascii="宋体" w:hAnsi="宋体" w:cs="宋体"/>
                <w:color w:val="auto"/>
                <w:kern w:val="0"/>
                <w:highlight w:val="none"/>
              </w:rPr>
            </w:pPr>
          </w:p>
        </w:tc>
        <w:tc>
          <w:tcPr>
            <w:tcW w:w="4565" w:type="dxa"/>
            <w:shd w:val="clear" w:color="auto" w:fill="auto"/>
          </w:tcPr>
          <w:p w14:paraId="312321E7">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承包人：（公章）</w:t>
            </w:r>
          </w:p>
          <w:p w14:paraId="74782A6E">
            <w:pPr>
              <w:widowControl/>
              <w:adjustRightInd w:val="0"/>
              <w:snapToGrid w:val="0"/>
              <w:spacing w:after="50" w:line="360" w:lineRule="auto"/>
              <w:jc w:val="left"/>
              <w:rPr>
                <w:rFonts w:ascii="宋体" w:hAnsi="宋体" w:cs="宋体"/>
                <w:color w:val="auto"/>
                <w:kern w:val="0"/>
                <w:highlight w:val="none"/>
              </w:rPr>
            </w:pPr>
          </w:p>
          <w:p w14:paraId="1D1B67FC">
            <w:pPr>
              <w:widowControl/>
              <w:adjustRightInd w:val="0"/>
              <w:snapToGrid w:val="0"/>
              <w:spacing w:after="50" w:line="360" w:lineRule="auto"/>
              <w:jc w:val="left"/>
              <w:rPr>
                <w:rFonts w:ascii="宋体" w:hAnsi="宋体" w:cs="宋体"/>
                <w:color w:val="auto"/>
                <w:kern w:val="0"/>
                <w:highlight w:val="none"/>
              </w:rPr>
            </w:pPr>
          </w:p>
        </w:tc>
      </w:tr>
      <w:tr w14:paraId="21B7FCB0">
        <w:tblPrEx>
          <w:tblCellMar>
            <w:top w:w="0" w:type="dxa"/>
            <w:left w:w="108" w:type="dxa"/>
            <w:bottom w:w="0" w:type="dxa"/>
            <w:right w:w="108" w:type="dxa"/>
          </w:tblCellMar>
        </w:tblPrEx>
        <w:tc>
          <w:tcPr>
            <w:tcW w:w="4507" w:type="dxa"/>
            <w:shd w:val="clear" w:color="auto" w:fill="auto"/>
          </w:tcPr>
          <w:p w14:paraId="4B221A1D">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法定代表人或其委托代理人：</w:t>
            </w:r>
          </w:p>
          <w:p w14:paraId="6B89C188">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（签名）</w:t>
            </w:r>
          </w:p>
          <w:p w14:paraId="20041D33">
            <w:pPr>
              <w:widowControl/>
              <w:adjustRightInd w:val="0"/>
              <w:snapToGrid w:val="0"/>
              <w:spacing w:after="50" w:line="360" w:lineRule="auto"/>
              <w:jc w:val="left"/>
              <w:rPr>
                <w:rFonts w:ascii="宋体" w:hAnsi="宋体" w:cs="宋体"/>
                <w:color w:val="auto"/>
                <w:kern w:val="0"/>
                <w:highlight w:val="none"/>
              </w:rPr>
            </w:pPr>
          </w:p>
        </w:tc>
        <w:tc>
          <w:tcPr>
            <w:tcW w:w="4565" w:type="dxa"/>
            <w:shd w:val="clear" w:color="auto" w:fill="auto"/>
          </w:tcPr>
          <w:p w14:paraId="407EE84E">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法定代表人或其委托代理人：</w:t>
            </w:r>
          </w:p>
          <w:p w14:paraId="1FC248C8">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（签名）</w:t>
            </w:r>
          </w:p>
          <w:p w14:paraId="1555ADF6">
            <w:pPr>
              <w:widowControl/>
              <w:adjustRightInd w:val="0"/>
              <w:snapToGrid w:val="0"/>
              <w:spacing w:after="50" w:line="360" w:lineRule="auto"/>
              <w:jc w:val="left"/>
              <w:rPr>
                <w:rFonts w:ascii="宋体" w:hAnsi="宋体" w:cs="宋体"/>
                <w:color w:val="auto"/>
                <w:kern w:val="0"/>
                <w:highlight w:val="none"/>
              </w:rPr>
            </w:pPr>
          </w:p>
        </w:tc>
      </w:tr>
      <w:tr w14:paraId="2B2A5FD2">
        <w:tblPrEx>
          <w:tblCellMar>
            <w:top w:w="0" w:type="dxa"/>
            <w:left w:w="108" w:type="dxa"/>
            <w:bottom w:w="0" w:type="dxa"/>
            <w:right w:w="108" w:type="dxa"/>
          </w:tblCellMar>
        </w:tblPrEx>
        <w:tc>
          <w:tcPr>
            <w:tcW w:w="4507" w:type="dxa"/>
            <w:shd w:val="clear" w:color="auto" w:fill="auto"/>
          </w:tcPr>
          <w:p w14:paraId="216DE0F7">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统一社会信用代码：</w:t>
            </w:r>
            <w:r>
              <w:rPr>
                <w:rFonts w:hint="eastAsia" w:ascii="宋体" w:hAnsi="宋体" w:cs="宋体"/>
                <w:color w:val="auto"/>
                <w:kern w:val="0"/>
                <w:szCs w:val="21"/>
                <w:highlight w:val="none"/>
                <w:u w:val="single"/>
                <w:lang w:bidi="ar"/>
              </w:rPr>
              <w:t xml:space="preserve">            </w:t>
            </w:r>
          </w:p>
          <w:p w14:paraId="28DF36AB">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地址：</w:t>
            </w:r>
            <w:r>
              <w:rPr>
                <w:rFonts w:hint="eastAsia" w:ascii="宋体" w:hAnsi="宋体" w:cs="宋体"/>
                <w:color w:val="auto"/>
                <w:kern w:val="0"/>
                <w:szCs w:val="21"/>
                <w:highlight w:val="none"/>
                <w:u w:val="single"/>
                <w:lang w:bidi="ar"/>
              </w:rPr>
              <w:t xml:space="preserve">                       </w:t>
            </w:r>
          </w:p>
          <w:p w14:paraId="14B2D76C">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邮政编码：</w:t>
            </w:r>
            <w:r>
              <w:rPr>
                <w:rFonts w:hint="eastAsia" w:ascii="宋体" w:hAnsi="宋体" w:cs="宋体"/>
                <w:color w:val="auto"/>
                <w:kern w:val="0"/>
                <w:szCs w:val="21"/>
                <w:highlight w:val="none"/>
                <w:u w:val="single"/>
                <w:lang w:bidi="ar"/>
              </w:rPr>
              <w:t xml:space="preserve">                      </w:t>
            </w:r>
          </w:p>
          <w:p w14:paraId="39F67B6C">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w:t>
            </w:r>
            <w:r>
              <w:rPr>
                <w:rFonts w:hint="eastAsia" w:ascii="宋体" w:hAnsi="宋体" w:cs="宋体"/>
                <w:color w:val="auto"/>
                <w:kern w:val="0"/>
                <w:szCs w:val="21"/>
                <w:highlight w:val="none"/>
                <w:u w:val="single"/>
                <w:lang w:bidi="ar"/>
              </w:rPr>
              <w:t xml:space="preserve">                 </w:t>
            </w:r>
          </w:p>
          <w:p w14:paraId="4D6A3FF4">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委托代理人：</w:t>
            </w:r>
            <w:r>
              <w:rPr>
                <w:rFonts w:hint="eastAsia" w:ascii="宋体" w:hAnsi="宋体" w:cs="宋体"/>
                <w:color w:val="auto"/>
                <w:kern w:val="0"/>
                <w:szCs w:val="21"/>
                <w:highlight w:val="none"/>
                <w:u w:val="single"/>
                <w:lang w:bidi="ar"/>
              </w:rPr>
              <w:t xml:space="preserve">                 </w:t>
            </w:r>
          </w:p>
          <w:p w14:paraId="5AFABFDF">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电话：</w:t>
            </w:r>
            <w:r>
              <w:rPr>
                <w:rFonts w:hint="eastAsia" w:ascii="宋体" w:hAnsi="宋体" w:cs="宋体"/>
                <w:color w:val="auto"/>
                <w:kern w:val="0"/>
                <w:szCs w:val="21"/>
                <w:highlight w:val="none"/>
                <w:u w:val="single"/>
                <w:lang w:bidi="ar"/>
              </w:rPr>
              <w:t xml:space="preserve">                       </w:t>
            </w:r>
          </w:p>
          <w:p w14:paraId="058ED059">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传真： </w:t>
            </w:r>
            <w:r>
              <w:rPr>
                <w:rFonts w:hint="eastAsia" w:ascii="宋体" w:hAnsi="宋体" w:cs="宋体"/>
                <w:color w:val="auto"/>
                <w:kern w:val="0"/>
                <w:szCs w:val="21"/>
                <w:highlight w:val="none"/>
                <w:u w:val="single"/>
                <w:lang w:bidi="ar"/>
              </w:rPr>
              <w:t xml:space="preserve">                      </w:t>
            </w:r>
          </w:p>
          <w:p w14:paraId="52C74D22">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电子信箱：</w:t>
            </w:r>
            <w:r>
              <w:rPr>
                <w:rFonts w:hint="eastAsia" w:ascii="宋体" w:hAnsi="宋体" w:cs="宋体"/>
                <w:color w:val="auto"/>
                <w:kern w:val="0"/>
                <w:szCs w:val="21"/>
                <w:highlight w:val="none"/>
                <w:u w:val="single"/>
                <w:lang w:bidi="ar"/>
              </w:rPr>
              <w:t xml:space="preserve">                    </w:t>
            </w:r>
          </w:p>
          <w:p w14:paraId="68150975">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开户银行：</w:t>
            </w:r>
            <w:r>
              <w:rPr>
                <w:rFonts w:hint="eastAsia" w:ascii="宋体" w:hAnsi="宋体" w:cs="宋体"/>
                <w:color w:val="auto"/>
                <w:kern w:val="0"/>
                <w:szCs w:val="21"/>
                <w:highlight w:val="none"/>
                <w:u w:val="single"/>
                <w:lang w:bidi="ar"/>
              </w:rPr>
              <w:t xml:space="preserve">                   </w:t>
            </w:r>
          </w:p>
          <w:p w14:paraId="753D565B">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账号：</w:t>
            </w:r>
            <w:r>
              <w:rPr>
                <w:rFonts w:hint="eastAsia" w:ascii="宋体" w:hAnsi="宋体" w:cs="宋体"/>
                <w:color w:val="auto"/>
                <w:kern w:val="0"/>
                <w:szCs w:val="21"/>
                <w:highlight w:val="none"/>
                <w:u w:val="single"/>
                <w:lang w:bidi="ar"/>
              </w:rPr>
              <w:t xml:space="preserve">                       </w:t>
            </w:r>
          </w:p>
        </w:tc>
        <w:tc>
          <w:tcPr>
            <w:tcW w:w="4565" w:type="dxa"/>
            <w:shd w:val="clear" w:color="auto" w:fill="auto"/>
          </w:tcPr>
          <w:p w14:paraId="4AD3C1FD">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统一社会信用代码：</w:t>
            </w:r>
            <w:r>
              <w:rPr>
                <w:rFonts w:hint="eastAsia" w:ascii="宋体" w:hAnsi="宋体" w:cs="宋体"/>
                <w:color w:val="auto"/>
                <w:kern w:val="0"/>
                <w:szCs w:val="21"/>
                <w:highlight w:val="none"/>
                <w:u w:val="single"/>
                <w:lang w:bidi="ar"/>
              </w:rPr>
              <w:t xml:space="preserve">            </w:t>
            </w:r>
          </w:p>
          <w:p w14:paraId="276C08C3">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地址：</w:t>
            </w:r>
            <w:r>
              <w:rPr>
                <w:rFonts w:hint="eastAsia" w:ascii="宋体" w:hAnsi="宋体" w:cs="宋体"/>
                <w:color w:val="auto"/>
                <w:kern w:val="0"/>
                <w:szCs w:val="21"/>
                <w:highlight w:val="none"/>
                <w:u w:val="single"/>
                <w:lang w:bidi="ar"/>
              </w:rPr>
              <w:t xml:space="preserve">                        </w:t>
            </w:r>
          </w:p>
          <w:p w14:paraId="6963BDD4">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邮政编码：</w:t>
            </w:r>
            <w:r>
              <w:rPr>
                <w:rFonts w:hint="eastAsia" w:ascii="宋体" w:hAnsi="宋体" w:cs="宋体"/>
                <w:color w:val="auto"/>
                <w:kern w:val="0"/>
                <w:szCs w:val="21"/>
                <w:highlight w:val="none"/>
                <w:u w:val="single"/>
                <w:lang w:bidi="ar"/>
              </w:rPr>
              <w:t xml:space="preserve">                      </w:t>
            </w:r>
          </w:p>
          <w:p w14:paraId="234B9A82">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w:t>
            </w:r>
            <w:r>
              <w:rPr>
                <w:rFonts w:hint="eastAsia" w:ascii="宋体" w:hAnsi="宋体" w:cs="宋体"/>
                <w:color w:val="auto"/>
                <w:kern w:val="0"/>
                <w:szCs w:val="21"/>
                <w:highlight w:val="none"/>
                <w:u w:val="single"/>
                <w:lang w:bidi="ar"/>
              </w:rPr>
              <w:t xml:space="preserve">                  </w:t>
            </w:r>
          </w:p>
          <w:p w14:paraId="3D64256E">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委托代理人：</w:t>
            </w:r>
            <w:r>
              <w:rPr>
                <w:rFonts w:hint="eastAsia" w:ascii="宋体" w:hAnsi="宋体" w:cs="宋体"/>
                <w:color w:val="auto"/>
                <w:kern w:val="0"/>
                <w:szCs w:val="21"/>
                <w:highlight w:val="none"/>
                <w:u w:val="single"/>
                <w:lang w:bidi="ar"/>
              </w:rPr>
              <w:t xml:space="preserve">                 </w:t>
            </w:r>
          </w:p>
          <w:p w14:paraId="22103D3E">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电话：</w:t>
            </w:r>
            <w:r>
              <w:rPr>
                <w:rFonts w:hint="eastAsia" w:ascii="宋体" w:hAnsi="宋体" w:cs="宋体"/>
                <w:color w:val="auto"/>
                <w:kern w:val="0"/>
                <w:szCs w:val="21"/>
                <w:highlight w:val="none"/>
                <w:u w:val="single"/>
                <w:lang w:bidi="ar"/>
              </w:rPr>
              <w:t xml:space="preserve">                       </w:t>
            </w:r>
          </w:p>
          <w:p w14:paraId="44268C93">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传真：</w:t>
            </w:r>
            <w:r>
              <w:rPr>
                <w:rFonts w:hint="eastAsia" w:ascii="宋体" w:hAnsi="宋体" w:cs="宋体"/>
                <w:color w:val="auto"/>
                <w:kern w:val="0"/>
                <w:szCs w:val="21"/>
                <w:highlight w:val="none"/>
                <w:u w:val="single"/>
                <w:lang w:bidi="ar"/>
              </w:rPr>
              <w:t xml:space="preserve">                       </w:t>
            </w:r>
          </w:p>
          <w:p w14:paraId="64FC3E82">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电子信箱：</w:t>
            </w:r>
            <w:r>
              <w:rPr>
                <w:rFonts w:hint="eastAsia" w:ascii="宋体" w:hAnsi="宋体" w:cs="宋体"/>
                <w:color w:val="auto"/>
                <w:kern w:val="0"/>
                <w:szCs w:val="21"/>
                <w:highlight w:val="none"/>
                <w:u w:val="single"/>
                <w:lang w:bidi="ar"/>
              </w:rPr>
              <w:t xml:space="preserve">                   </w:t>
            </w:r>
          </w:p>
          <w:p w14:paraId="321B9FA9">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开户银行：</w:t>
            </w:r>
            <w:r>
              <w:rPr>
                <w:rFonts w:hint="eastAsia" w:ascii="宋体" w:hAnsi="宋体" w:cs="宋体"/>
                <w:color w:val="auto"/>
                <w:kern w:val="0"/>
                <w:szCs w:val="21"/>
                <w:highlight w:val="none"/>
                <w:u w:val="single"/>
                <w:lang w:bidi="ar"/>
              </w:rPr>
              <w:t xml:space="preserve">                   </w:t>
            </w:r>
          </w:p>
          <w:p w14:paraId="645A9865">
            <w:pPr>
              <w:widowControl/>
              <w:adjustRightInd w:val="0"/>
              <w:snapToGrid w:val="0"/>
              <w:spacing w:after="50"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账号：</w:t>
            </w:r>
            <w:r>
              <w:rPr>
                <w:rFonts w:hint="eastAsia" w:ascii="宋体" w:hAnsi="宋体" w:cs="宋体"/>
                <w:color w:val="auto"/>
                <w:kern w:val="0"/>
                <w:szCs w:val="21"/>
                <w:highlight w:val="none"/>
                <w:u w:val="single"/>
                <w:lang w:bidi="ar"/>
              </w:rPr>
              <w:t xml:space="preserve">                       </w:t>
            </w:r>
          </w:p>
        </w:tc>
      </w:tr>
    </w:tbl>
    <w:p w14:paraId="64769051">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kern w:val="0"/>
          <w:szCs w:val="21"/>
          <w:highlight w:val="none"/>
          <w:lang w:bidi="ar"/>
        </w:rPr>
        <w:tab/>
      </w:r>
    </w:p>
    <w:p w14:paraId="0BD2EA69">
      <w:pPr>
        <w:spacing w:line="360" w:lineRule="auto"/>
        <w:rPr>
          <w:rFonts w:ascii="宋体" w:hAnsi="宋体"/>
          <w:b/>
          <w:color w:val="auto"/>
          <w:kern w:val="44"/>
          <w:szCs w:val="21"/>
          <w:highlight w:val="none"/>
          <w:lang w:bidi="ar"/>
        </w:rPr>
        <w:sectPr>
          <w:pgSz w:w="11906" w:h="16838"/>
          <w:pgMar w:top="1304" w:right="1135" w:bottom="1304" w:left="1304" w:header="720" w:footer="720" w:gutter="0"/>
          <w:cols w:space="720" w:num="1"/>
          <w:docGrid w:type="lines" w:linePitch="326" w:charSpace="0"/>
        </w:sectPr>
      </w:pPr>
    </w:p>
    <w:p w14:paraId="67F9F28A">
      <w:pPr>
        <w:widowControl/>
        <w:adjustRightInd w:val="0"/>
        <w:snapToGrid w:val="0"/>
        <w:spacing w:after="50" w:line="360" w:lineRule="auto"/>
        <w:jc w:val="center"/>
        <w:outlineLvl w:val="0"/>
        <w:rPr>
          <w:rFonts w:ascii="宋体" w:hAnsi="宋体" w:cs="宋体"/>
          <w:b/>
          <w:color w:val="auto"/>
          <w:kern w:val="44"/>
          <w:highlight w:val="none"/>
        </w:rPr>
      </w:pPr>
      <w:bookmarkStart w:id="847" w:name="_Toc20171721"/>
      <w:bookmarkEnd w:id="847"/>
      <w:bookmarkStart w:id="848" w:name="_Toc20586"/>
      <w:bookmarkStart w:id="849" w:name="_Toc170932437"/>
      <w:r>
        <w:rPr>
          <w:rFonts w:hint="eastAsia" w:ascii="宋体" w:hAnsi="宋体" w:cs="宋体"/>
          <w:b/>
          <w:color w:val="auto"/>
          <w:kern w:val="44"/>
          <w:szCs w:val="21"/>
          <w:highlight w:val="none"/>
          <w:lang w:bidi="ar"/>
        </w:rPr>
        <w:t>第二部分 通用合同条件</w:t>
      </w:r>
      <w:bookmarkEnd w:id="848"/>
      <w:bookmarkEnd w:id="849"/>
    </w:p>
    <w:p w14:paraId="62E1794E">
      <w:pPr>
        <w:widowControl/>
        <w:adjustRightInd w:val="0"/>
        <w:snapToGrid w:val="0"/>
        <w:spacing w:after="163" w:afterLines="50" w:line="360" w:lineRule="auto"/>
        <w:outlineLvl w:val="1"/>
        <w:rPr>
          <w:rFonts w:ascii="宋体" w:hAnsi="宋体" w:cs="宋体"/>
          <w:color w:val="auto"/>
          <w:kern w:val="0"/>
          <w:highlight w:val="none"/>
        </w:rPr>
      </w:pPr>
      <w:bookmarkStart w:id="850" w:name="_Ref508893699"/>
      <w:bookmarkEnd w:id="850"/>
      <w:bookmarkStart w:id="851" w:name="_Ref509040831"/>
      <w:bookmarkEnd w:id="851"/>
      <w:bookmarkStart w:id="852" w:name="_Ref531952761"/>
      <w:bookmarkEnd w:id="852"/>
      <w:bookmarkStart w:id="853" w:name="_Toc20171722"/>
      <w:bookmarkEnd w:id="853"/>
      <w:bookmarkStart w:id="854" w:name="_Ref509040826"/>
      <w:bookmarkEnd w:id="854"/>
      <w:bookmarkStart w:id="855" w:name="_Ref531952756"/>
      <w:bookmarkStart w:id="856" w:name="_Toc170932438"/>
      <w:bookmarkStart w:id="857" w:name="_Toc27129"/>
      <w:r>
        <w:rPr>
          <w:rFonts w:hint="eastAsia" w:ascii="宋体" w:hAnsi="宋体" w:cs="宋体"/>
          <w:color w:val="auto"/>
          <w:kern w:val="0"/>
          <w:szCs w:val="21"/>
          <w:highlight w:val="none"/>
          <w:lang w:bidi="ar"/>
        </w:rPr>
        <w:t xml:space="preserve">第1条 </w:t>
      </w:r>
      <w:bookmarkEnd w:id="855"/>
      <w:r>
        <w:rPr>
          <w:rFonts w:hint="eastAsia" w:ascii="宋体" w:hAnsi="宋体" w:cs="宋体"/>
          <w:color w:val="auto"/>
          <w:kern w:val="0"/>
          <w:szCs w:val="21"/>
          <w:highlight w:val="none"/>
          <w:lang w:bidi="ar"/>
        </w:rPr>
        <w:t xml:space="preserve"> 一般约定</w:t>
      </w:r>
      <w:bookmarkEnd w:id="856"/>
      <w:bookmarkEnd w:id="857"/>
    </w:p>
    <w:p w14:paraId="7C87381B">
      <w:pPr>
        <w:widowControl/>
        <w:wordWrap w:val="0"/>
        <w:topLinePunct/>
        <w:adjustRightInd w:val="0"/>
        <w:snapToGrid w:val="0"/>
        <w:spacing w:after="163" w:afterLines="50" w:line="360" w:lineRule="auto"/>
        <w:outlineLvl w:val="2"/>
        <w:rPr>
          <w:rFonts w:ascii="宋体" w:hAnsi="宋体" w:cs="宋体"/>
          <w:color w:val="auto"/>
          <w:highlight w:val="none"/>
        </w:rPr>
      </w:pPr>
      <w:bookmarkStart w:id="858" w:name="_Ref523741471"/>
      <w:bookmarkEnd w:id="858"/>
      <w:bookmarkStart w:id="859" w:name="_Toc20171723"/>
      <w:bookmarkEnd w:id="859"/>
      <w:bookmarkStart w:id="860" w:name="_Ref523741474"/>
      <w:bookmarkStart w:id="861" w:name="_Toc24072"/>
      <w:bookmarkStart w:id="862" w:name="_Toc170932439"/>
      <w:bookmarkStart w:id="863" w:name="_Toc84930708"/>
      <w:bookmarkStart w:id="864" w:name="_Toc58860158"/>
      <w:bookmarkStart w:id="865" w:name="_Toc16029"/>
      <w:bookmarkStart w:id="866" w:name="_Toc51766571"/>
      <w:bookmarkStart w:id="867" w:name="_Toc32760"/>
      <w:bookmarkStart w:id="868" w:name="_Toc19685"/>
      <w:r>
        <w:rPr>
          <w:rFonts w:hint="eastAsia" w:ascii="宋体" w:hAnsi="宋体" w:cs="宋体"/>
          <w:color w:val="auto"/>
          <w:szCs w:val="21"/>
          <w:highlight w:val="none"/>
          <w:lang w:bidi="ar"/>
        </w:rPr>
        <w:t>1</w:t>
      </w:r>
      <w:bookmarkEnd w:id="860"/>
      <w:r>
        <w:rPr>
          <w:rFonts w:hint="eastAsia" w:ascii="宋体" w:hAnsi="宋体" w:cs="宋体"/>
          <w:color w:val="auto"/>
          <w:szCs w:val="21"/>
          <w:highlight w:val="none"/>
          <w:lang w:bidi="ar"/>
        </w:rPr>
        <w:t>.1  词语定义和解释</w:t>
      </w:r>
      <w:bookmarkEnd w:id="861"/>
      <w:bookmarkEnd w:id="862"/>
      <w:bookmarkEnd w:id="863"/>
      <w:bookmarkEnd w:id="864"/>
      <w:bookmarkEnd w:id="865"/>
      <w:bookmarkEnd w:id="866"/>
      <w:bookmarkEnd w:id="867"/>
      <w:bookmarkEnd w:id="868"/>
    </w:p>
    <w:p w14:paraId="68660856">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合同协议书、通用合同条件、专用合同条件中的下列词语应具有本款所赋予的含义：</w:t>
      </w:r>
    </w:p>
    <w:p w14:paraId="3C22A86D">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869" w:name="_Ref4757289"/>
      <w:bookmarkEnd w:id="869"/>
      <w:bookmarkStart w:id="870" w:name="_Ref521288340"/>
      <w:r>
        <w:rPr>
          <w:rFonts w:hint="eastAsia" w:ascii="宋体" w:hAnsi="宋体" w:cs="宋体"/>
          <w:color w:val="auto"/>
          <w:szCs w:val="21"/>
          <w:highlight w:val="none"/>
          <w:lang w:bidi="ar"/>
        </w:rPr>
        <w:t>1</w:t>
      </w:r>
      <w:bookmarkEnd w:id="870"/>
      <w:r>
        <w:rPr>
          <w:rFonts w:hint="eastAsia" w:ascii="宋体" w:hAnsi="宋体" w:cs="宋体"/>
          <w:color w:val="auto"/>
          <w:szCs w:val="21"/>
          <w:highlight w:val="none"/>
          <w:lang w:bidi="ar"/>
        </w:rPr>
        <w:t>.1.1合同</w:t>
      </w:r>
    </w:p>
    <w:p w14:paraId="58F3CEC2">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1.1.1.1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1E3737C3">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1.1.1.2合同协议书：是指构成合同的由发包人和承包人共同签署的称为“合同协议书”的书面文件。</w:t>
      </w:r>
    </w:p>
    <w:p w14:paraId="3886E015">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1.1.1.3中标通知书：是指构成合同的由发包人通知承包人中标的书面文件。中标通知书随附的澄清、说明、补正事项纪要等，是中标通知书的组成部分。</w:t>
      </w:r>
    </w:p>
    <w:p w14:paraId="51EC71FE">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1.1.1.4投标函：是指构成合同的由承包人填写并签署的用于投标的称为“投标函”的文件。</w:t>
      </w:r>
    </w:p>
    <w:p w14:paraId="661C754D">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1.1.1.5投标函附录：是指构成合同的附在投标函后的称为“投标函附录”的文件。</w:t>
      </w:r>
    </w:p>
    <w:p w14:paraId="77474158">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1.1.1.6《发包人要求》：指构成合同文件组成部分的名为《发包人要求》的文件，其中列明工程的目的、范围、设计与其他技术标准和要求，以及合同双方当事人约定对其所作的修改或补充。</w:t>
      </w:r>
    </w:p>
    <w:p w14:paraId="46B594AE">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1.1.1.7项目清单：是指发包人提供的载明工程项目勘察费（如果有）、设计费、建筑安装工程费、设备购置费、暂估价、暂列金额和双方约定的其他费用的名称和相应数量等内容的项目明细。</w:t>
      </w:r>
    </w:p>
    <w:p w14:paraId="65FAFA46">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1.1.1.8价格清单：指构成合同文件组成部分的由承包人按发包人提供的项目清单规定的格式和要求填写并标明价格的清单。</w:t>
      </w:r>
    </w:p>
    <w:p w14:paraId="4B597802">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1.1.1.9承包人建议书：指构成合同文件组成部分的名为承包人建议书的文件。承包人建议书由承包人随投标函一起提交。</w:t>
      </w:r>
    </w:p>
    <w:p w14:paraId="42110EFD">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bookmarkStart w:id="871" w:name="_Ref4415300"/>
      <w:bookmarkEnd w:id="871"/>
      <w:r>
        <w:rPr>
          <w:rFonts w:hint="eastAsia" w:ascii="宋体" w:hAnsi="宋体" w:cs="宋体"/>
          <w:color w:val="auto"/>
          <w:szCs w:val="21"/>
          <w:highlight w:val="none"/>
          <w:lang w:bidi="ar"/>
        </w:rPr>
        <w:t>1.1.1.10其他合同文件：是指经合同当事人约定的与工程实施有关的具有合同约束力的文件或书面协议。合同当事人可以在专用合同条件中进行约定。</w:t>
      </w:r>
    </w:p>
    <w:p w14:paraId="3CFAF7D0">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872" w:name="_Ref4757418"/>
      <w:bookmarkEnd w:id="872"/>
      <w:r>
        <w:rPr>
          <w:rFonts w:hint="eastAsia" w:ascii="宋体" w:hAnsi="宋体" w:cs="宋体"/>
          <w:color w:val="auto"/>
          <w:szCs w:val="21"/>
          <w:highlight w:val="none"/>
          <w:lang w:bidi="ar"/>
        </w:rPr>
        <w:t>1.1.2合同当事人及其他相关方</w:t>
      </w:r>
    </w:p>
    <w:p w14:paraId="7A61C271">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1.1.2.1合同当事人：是指发包人和（或）承包人。</w:t>
      </w:r>
    </w:p>
    <w:p w14:paraId="2922BE41">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1.1.2.2发包人：是指与承包人订立合同协议书的当事人及取得该当事人资格的合法继受人。本合同中“因发包人原因”里的“发包人”包括发包人及所有发包人人员。</w:t>
      </w:r>
    </w:p>
    <w:p w14:paraId="1CBBD5C3">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1.1.2.3承包人：是指与发包人订立合同协议书的当事人及取得该当事人资格的合法继受人。</w:t>
      </w:r>
    </w:p>
    <w:p w14:paraId="205E904A">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1.1.2.4联合体：是指经发包人同意由两个或两个以上法人或者其他组织组成的，作为承包人的临时机构。</w:t>
      </w:r>
    </w:p>
    <w:p w14:paraId="21FBF800">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bookmarkStart w:id="873" w:name="_Ref4420046"/>
      <w:bookmarkEnd w:id="873"/>
      <w:r>
        <w:rPr>
          <w:rFonts w:hint="eastAsia" w:ascii="宋体" w:hAnsi="宋体" w:cs="宋体"/>
          <w:color w:val="auto"/>
          <w:szCs w:val="21"/>
          <w:highlight w:val="none"/>
          <w:lang w:bidi="ar"/>
        </w:rPr>
        <w:t>1.1.2.5发包人代表：是指由发包人任命并派驻工作现场，在发包人授权范围内行使发包人权利和履行发包人义务的人。</w:t>
      </w:r>
    </w:p>
    <w:p w14:paraId="4F59A732">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bookmarkStart w:id="874" w:name="_Ref4756982"/>
      <w:bookmarkEnd w:id="874"/>
      <w:r>
        <w:rPr>
          <w:rFonts w:hint="eastAsia" w:ascii="宋体" w:hAnsi="宋体" w:cs="宋体"/>
          <w:color w:val="auto"/>
          <w:szCs w:val="21"/>
          <w:highlight w:val="none"/>
          <w:lang w:bidi="ar"/>
        </w:rPr>
        <w:t>1.1.2.6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p>
    <w:p w14:paraId="4C73E7F7">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1.1.2.7工程项目经理：是指由承包人任命的，在承包人授权范围内负责合同履行的管理，且按照法律规定具有相应资格的项目负责人。</w:t>
      </w:r>
    </w:p>
    <w:p w14:paraId="603F0519">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1.1.2.10施工负责人：是指承包人指定负责组织、指导、协调施工工作并具有相应资格的人员。</w:t>
      </w:r>
    </w:p>
    <w:p w14:paraId="1B3AAEDA">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1.1.2.11分包人：是指按照法律规定和合同约定，分包部分工程或工作，并与承包人订立分包合同的具有相应资质或资格的法人或其他组织。</w:t>
      </w:r>
    </w:p>
    <w:p w14:paraId="45A1CF48">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875" w:name="_Ref4758319"/>
      <w:bookmarkEnd w:id="875"/>
      <w:r>
        <w:rPr>
          <w:rFonts w:hint="eastAsia" w:ascii="宋体" w:hAnsi="宋体" w:cs="宋体"/>
          <w:color w:val="auto"/>
          <w:szCs w:val="21"/>
          <w:highlight w:val="none"/>
          <w:lang w:bidi="ar"/>
        </w:rPr>
        <w:t>1.1.3工程和设备</w:t>
      </w:r>
    </w:p>
    <w:p w14:paraId="48B2CE15">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1.1.3.1工程：是指与合同协议书中工程承包范围对应的永久工程和（或）临时工程。</w:t>
      </w:r>
    </w:p>
    <w:p w14:paraId="1F4968D2">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1.1.3.2工程实施：是指进行工程的设计、采购、施工和竣工以及对工程任何缺陷的修复。</w:t>
      </w:r>
    </w:p>
    <w:p w14:paraId="2C2FA22B">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1.1.3.3永久工程：是指按合同约定建造并移交给发包人的工程，包括工程设备。</w:t>
      </w:r>
    </w:p>
    <w:p w14:paraId="222D7B79">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1.1.3.4临时工程：是指为完成合同约定的永久工程所修建的各类临时性工程，不包括施工设备。</w:t>
      </w:r>
    </w:p>
    <w:p w14:paraId="684149E2">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bookmarkStart w:id="876" w:name="_Ref4419825"/>
      <w:bookmarkEnd w:id="876"/>
      <w:r>
        <w:rPr>
          <w:rFonts w:hint="eastAsia" w:ascii="宋体" w:hAnsi="宋体" w:cs="宋体"/>
          <w:color w:val="auto"/>
          <w:szCs w:val="21"/>
          <w:highlight w:val="none"/>
          <w:lang w:bidi="ar"/>
        </w:rPr>
        <w:t>1.1.3.5单位/区段工程：是指在专用合同条件中指明特定范围的，能单独接收并使用的永久工程。</w:t>
      </w:r>
    </w:p>
    <w:p w14:paraId="2356F98D">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1.1.3.6工程设备：指构成永久工程的机电设备、仪器装置、运载工具及其他类似的设备和装置，包括其配件及备品、备件、易损易耗件等。</w:t>
      </w:r>
    </w:p>
    <w:p w14:paraId="27119EEF">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1.1.3.7施工设备：指为完成合同约定的各项工作所需的设备、器具和其他物品，不包括工程设备、临时工程和材料。</w:t>
      </w:r>
    </w:p>
    <w:p w14:paraId="04444E49">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1.1.3.8临时设施：指为完成合同约定的各项工作所服务的临时性生产和生活设施。</w:t>
      </w:r>
    </w:p>
    <w:p w14:paraId="546A51F0">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bookmarkStart w:id="877" w:name="_Ref4420577"/>
      <w:bookmarkEnd w:id="877"/>
      <w:r>
        <w:rPr>
          <w:rFonts w:hint="eastAsia" w:ascii="宋体" w:hAnsi="宋体" w:cs="宋体"/>
          <w:color w:val="auto"/>
          <w:szCs w:val="21"/>
          <w:highlight w:val="none"/>
          <w:lang w:bidi="ar"/>
        </w:rPr>
        <w:t>1.1.3.9施工现场：是指用于工程施工的场所，以及在专用合同条件中指明作为施工场所组成部分的其他场所，包括永久占地和临时占地。</w:t>
      </w:r>
    </w:p>
    <w:p w14:paraId="69FE7115">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bookmarkStart w:id="878" w:name="_Ref4420746"/>
      <w:bookmarkEnd w:id="878"/>
      <w:r>
        <w:rPr>
          <w:rFonts w:hint="eastAsia" w:ascii="宋体" w:hAnsi="宋体" w:cs="宋体"/>
          <w:color w:val="auto"/>
          <w:szCs w:val="21"/>
          <w:highlight w:val="none"/>
          <w:lang w:bidi="ar"/>
        </w:rPr>
        <w:t>1.1.3.10永久占地：是指专用合同条件中指明为实施工程需永久占用的土地。</w:t>
      </w:r>
    </w:p>
    <w:p w14:paraId="1002D40C">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bookmarkStart w:id="879" w:name="_Ref4420821"/>
      <w:bookmarkEnd w:id="879"/>
      <w:r>
        <w:rPr>
          <w:rFonts w:hint="eastAsia" w:ascii="宋体" w:hAnsi="宋体" w:cs="宋体"/>
          <w:color w:val="auto"/>
          <w:szCs w:val="21"/>
          <w:highlight w:val="none"/>
          <w:lang w:bidi="ar"/>
        </w:rPr>
        <w:t>1.1.3.11临时占地：是指专用合同条件中指明为实施工程需临时占用的土地。</w:t>
      </w:r>
    </w:p>
    <w:p w14:paraId="2C55C9FE">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1.1.4日期和期限</w:t>
      </w:r>
    </w:p>
    <w:p w14:paraId="671C11AB">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1.1.4.1开始工作通知：指工程师按第8.1.2项[开始工作通知]的约定通知承包人开始工作的函件。</w:t>
      </w:r>
    </w:p>
    <w:p w14:paraId="100AAAEB">
      <w:pPr>
        <w:widowControl/>
        <w:autoSpaceDE w:val="0"/>
        <w:autoSpaceDN w:val="0"/>
        <w:adjustRightInd w:val="0"/>
        <w:snapToGrid w:val="0"/>
        <w:spacing w:after="163" w:afterLines="5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1.1.4.2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71D79F44">
      <w:pPr>
        <w:widowControl/>
        <w:autoSpaceDE w:val="0"/>
        <w:autoSpaceDN w:val="0"/>
        <w:adjustRightInd w:val="0"/>
        <w:snapToGrid w:val="0"/>
        <w:spacing w:after="163" w:afterLines="5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w:t>
      </w:r>
      <w:r>
        <w:rPr>
          <w:rFonts w:ascii="宋体" w:hAnsi="宋体" w:cs="宋体"/>
          <w:color w:val="auto"/>
          <w:szCs w:val="21"/>
          <w:highlight w:val="none"/>
          <w:lang w:bidi="ar"/>
        </w:rPr>
        <w:t xml:space="preserve">.1.4.3 </w:t>
      </w:r>
      <w:r>
        <w:rPr>
          <w:rFonts w:hint="eastAsia" w:ascii="宋体" w:hAnsi="宋体" w:cs="宋体"/>
          <w:color w:val="auto"/>
          <w:szCs w:val="21"/>
          <w:highlight w:val="none"/>
          <w:lang w:bidi="ar"/>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63651AD8">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w:t>
      </w:r>
      <w:r>
        <w:rPr>
          <w:rFonts w:ascii="宋体" w:hAnsi="宋体" w:cs="宋体"/>
          <w:color w:val="auto"/>
          <w:szCs w:val="21"/>
          <w:highlight w:val="none"/>
          <w:lang w:bidi="ar"/>
        </w:rPr>
        <w:t>4</w:t>
      </w:r>
      <w:r>
        <w:rPr>
          <w:rFonts w:hint="eastAsia" w:ascii="宋体" w:hAnsi="宋体" w:cs="宋体"/>
          <w:color w:val="auto"/>
          <w:szCs w:val="21"/>
          <w:highlight w:val="none"/>
          <w:lang w:bidi="ar"/>
        </w:rPr>
        <w:t>竣工日期：包括计划竣工日期和实际竣工日期。计划竣工日期是指合同协议书约定的竣工日期；实际竣工日期按照第8.2款[竣工日期]的约定确定。</w:t>
      </w:r>
    </w:p>
    <w:p w14:paraId="5C28AE55">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w:t>
      </w:r>
      <w:r>
        <w:rPr>
          <w:rFonts w:ascii="宋体" w:hAnsi="宋体" w:cs="宋体"/>
          <w:color w:val="auto"/>
          <w:szCs w:val="21"/>
          <w:highlight w:val="none"/>
          <w:lang w:bidi="ar"/>
        </w:rPr>
        <w:t>5</w:t>
      </w:r>
      <w:r>
        <w:rPr>
          <w:rFonts w:hint="eastAsia" w:ascii="宋体" w:hAnsi="宋体" w:cs="宋体"/>
          <w:color w:val="auto"/>
          <w:szCs w:val="21"/>
          <w:highlight w:val="none"/>
          <w:lang w:bidi="ar"/>
        </w:rPr>
        <w:t>工期：是指在合同协议书约定的承包人完成合同工作所需的期限，包括按照合同约定所作的期限变更及按合同约定承包人有权取得的工期延长。</w:t>
      </w:r>
    </w:p>
    <w:p w14:paraId="76D81EE4">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w:t>
      </w:r>
      <w:r>
        <w:rPr>
          <w:rFonts w:ascii="宋体" w:hAnsi="宋体" w:cs="宋体"/>
          <w:color w:val="auto"/>
          <w:szCs w:val="21"/>
          <w:highlight w:val="none"/>
          <w:lang w:bidi="ar"/>
        </w:rPr>
        <w:t>6</w:t>
      </w:r>
      <w:r>
        <w:rPr>
          <w:rFonts w:hint="eastAsia" w:ascii="宋体" w:hAnsi="宋体" w:cs="宋体"/>
          <w:color w:val="auto"/>
          <w:szCs w:val="21"/>
          <w:highlight w:val="none"/>
          <w:lang w:bidi="ar"/>
        </w:rPr>
        <w:t>缺陷责任期：是指发包人预留工程质量保证金以保证承包人履行第</w:t>
      </w:r>
      <w:r>
        <w:rPr>
          <w:rFonts w:ascii="宋体" w:hAnsi="宋体" w:cs="宋体"/>
          <w:color w:val="auto"/>
          <w:szCs w:val="21"/>
          <w:highlight w:val="none"/>
          <w:lang w:bidi="ar"/>
        </w:rPr>
        <w:t>11.3</w:t>
      </w:r>
      <w:r>
        <w:rPr>
          <w:rFonts w:hint="eastAsia" w:ascii="宋体" w:hAnsi="宋体" w:cs="宋体"/>
          <w:color w:val="auto"/>
          <w:szCs w:val="21"/>
          <w:highlight w:val="none"/>
          <w:lang w:bidi="ar"/>
        </w:rPr>
        <w:t>款[缺陷调查]</w:t>
      </w:r>
      <w:r>
        <w:rPr>
          <w:rFonts w:ascii="宋体" w:hAnsi="宋体" w:cs="宋体"/>
          <w:color w:val="auto"/>
          <w:szCs w:val="21"/>
          <w:highlight w:val="none"/>
          <w:lang w:bidi="ar"/>
        </w:rPr>
        <w:t>下质量缺陷责任的期限</w:t>
      </w:r>
      <w:r>
        <w:rPr>
          <w:rFonts w:hint="eastAsia" w:ascii="宋体" w:hAnsi="宋体" w:cs="宋体"/>
          <w:color w:val="auto"/>
          <w:szCs w:val="21"/>
          <w:highlight w:val="none"/>
          <w:lang w:bidi="ar"/>
        </w:rPr>
        <w:t>。</w:t>
      </w:r>
    </w:p>
    <w:p w14:paraId="1D79C0C1">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w:t>
      </w:r>
      <w:r>
        <w:rPr>
          <w:rFonts w:ascii="宋体" w:hAnsi="宋体" w:cs="宋体"/>
          <w:color w:val="auto"/>
          <w:szCs w:val="21"/>
          <w:highlight w:val="none"/>
          <w:lang w:bidi="ar"/>
        </w:rPr>
        <w:t>7</w:t>
      </w:r>
      <w:r>
        <w:rPr>
          <w:rFonts w:hint="eastAsia" w:ascii="宋体" w:hAnsi="宋体" w:cs="宋体"/>
          <w:color w:val="auto"/>
          <w:szCs w:val="21"/>
          <w:highlight w:val="none"/>
          <w:lang w:bidi="ar"/>
        </w:rPr>
        <w:t>保修期：是指承包人按照合同约定和法律规定对工程质量承担保修责任的期限，该期限自缺陷责任期起算之日起计算。</w:t>
      </w:r>
    </w:p>
    <w:p w14:paraId="0A2A186F">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w:t>
      </w:r>
      <w:r>
        <w:rPr>
          <w:rFonts w:ascii="宋体" w:hAnsi="宋体" w:cs="宋体"/>
          <w:color w:val="auto"/>
          <w:szCs w:val="21"/>
          <w:highlight w:val="none"/>
          <w:lang w:bidi="ar"/>
        </w:rPr>
        <w:t>8</w:t>
      </w:r>
      <w:r>
        <w:rPr>
          <w:rFonts w:hint="eastAsia" w:ascii="宋体" w:hAnsi="宋体" w:cs="宋体"/>
          <w:color w:val="auto"/>
          <w:szCs w:val="21"/>
          <w:highlight w:val="none"/>
          <w:lang w:bidi="ar"/>
        </w:rPr>
        <w:t>基准日期：招标发包的工程以投标截止日前28天的日期为基准日期，直接发包的工程以合同订立日前28天的日期为基准日期。</w:t>
      </w:r>
    </w:p>
    <w:p w14:paraId="136E3F0F">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w:t>
      </w:r>
      <w:r>
        <w:rPr>
          <w:rFonts w:ascii="宋体" w:hAnsi="宋体" w:cs="宋体"/>
          <w:color w:val="auto"/>
          <w:szCs w:val="21"/>
          <w:highlight w:val="none"/>
          <w:lang w:bidi="ar"/>
        </w:rPr>
        <w:t>9</w:t>
      </w:r>
      <w:r>
        <w:rPr>
          <w:rFonts w:hint="eastAsia" w:ascii="宋体" w:hAnsi="宋体" w:cs="宋体"/>
          <w:color w:val="auto"/>
          <w:szCs w:val="21"/>
          <w:highlight w:val="none"/>
          <w:lang w:bidi="ar"/>
        </w:rPr>
        <w:t>天：除特别指明外，均指日历天。合同中按天计算时间的，开始当天不计入，从次日开始计算。期限最后一天的截止时间为当天24:00。</w:t>
      </w:r>
    </w:p>
    <w:p w14:paraId="3C5AD68E">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w:t>
      </w:r>
      <w:r>
        <w:rPr>
          <w:rFonts w:ascii="宋体" w:hAnsi="宋体" w:cs="宋体"/>
          <w:color w:val="auto"/>
          <w:szCs w:val="21"/>
          <w:highlight w:val="none"/>
          <w:lang w:bidi="ar"/>
        </w:rPr>
        <w:t>10</w:t>
      </w:r>
      <w:r>
        <w:rPr>
          <w:rFonts w:hint="eastAsia" w:ascii="宋体" w:hAnsi="宋体" w:cs="宋体"/>
          <w:color w:val="auto"/>
          <w:szCs w:val="21"/>
          <w:highlight w:val="none"/>
          <w:lang w:bidi="ar"/>
        </w:rPr>
        <w:t>竣工试验：是指在工程竣工验收前，根据第9条[竣工试验]要求进行的试验。</w:t>
      </w:r>
    </w:p>
    <w:p w14:paraId="17CFA1F7">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1.1.4.1</w:t>
      </w:r>
      <w:r>
        <w:rPr>
          <w:rFonts w:ascii="宋体" w:hAnsi="宋体" w:cs="宋体"/>
          <w:color w:val="auto"/>
          <w:szCs w:val="21"/>
          <w:highlight w:val="none"/>
          <w:lang w:bidi="ar"/>
        </w:rPr>
        <w:t>1</w:t>
      </w:r>
      <w:r>
        <w:rPr>
          <w:rFonts w:hint="eastAsia" w:ascii="宋体" w:hAnsi="宋体" w:cs="宋体"/>
          <w:color w:val="auto"/>
          <w:szCs w:val="21"/>
          <w:highlight w:val="none"/>
          <w:lang w:bidi="ar"/>
        </w:rPr>
        <w:t>竣工验收：是指承包人完成了合同约定的各项内容后，发包人按合同要求进行的验收。</w:t>
      </w:r>
    </w:p>
    <w:p w14:paraId="755E0EF2">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1.1.4.1</w:t>
      </w:r>
      <w:r>
        <w:rPr>
          <w:rFonts w:ascii="宋体" w:hAnsi="宋体" w:cs="宋体"/>
          <w:color w:val="auto"/>
          <w:szCs w:val="21"/>
          <w:highlight w:val="none"/>
          <w:lang w:bidi="ar"/>
        </w:rPr>
        <w:t>2</w:t>
      </w:r>
      <w:r>
        <w:rPr>
          <w:rFonts w:hint="eastAsia" w:ascii="宋体" w:hAnsi="宋体" w:cs="宋体"/>
          <w:color w:val="auto"/>
          <w:szCs w:val="21"/>
          <w:highlight w:val="none"/>
          <w:lang w:bidi="ar"/>
        </w:rPr>
        <w:t>竣工后试验：是指在工程竣工验收后，根据第12条[竣工后试验]约定进行的试验。</w:t>
      </w:r>
    </w:p>
    <w:p w14:paraId="3842CD4E">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1.1.5合同价格和费用</w:t>
      </w:r>
    </w:p>
    <w:p w14:paraId="624FA849">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1.1.5.1签约合同价：是指发包人和承包人在合同协议书中确定的总金额，包括暂估价及暂列金额等。</w:t>
      </w:r>
    </w:p>
    <w:p w14:paraId="28DEA81F">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1.1.5.2合同价格：是指发包人用于支付承包人按照合同约定完成承包范围内全部工作的金额，包括合同履行过程中按合同约定发生的价格变化。</w:t>
      </w:r>
    </w:p>
    <w:p w14:paraId="2ECF7815">
      <w:pPr>
        <w:widowControl/>
        <w:autoSpaceDE w:val="0"/>
        <w:autoSpaceDN w:val="0"/>
        <w:adjustRightInd w:val="0"/>
        <w:snapToGrid w:val="0"/>
        <w:spacing w:after="163" w:afterLines="5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1.1.5.3费用：是指为履行合同所发生的或将要发生的所有合理开支，包括管理费和应分摊的其他费用，但不包括利润。</w:t>
      </w:r>
    </w:p>
    <w:p w14:paraId="0651A2F6">
      <w:pPr>
        <w:widowControl/>
        <w:autoSpaceDE w:val="0"/>
        <w:autoSpaceDN w:val="0"/>
        <w:adjustRightInd w:val="0"/>
        <w:snapToGrid w:val="0"/>
        <w:spacing w:after="163" w:afterLines="5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w:t>
      </w:r>
      <w:r>
        <w:rPr>
          <w:rFonts w:ascii="宋体" w:hAnsi="宋体" w:cs="宋体"/>
          <w:color w:val="auto"/>
          <w:szCs w:val="21"/>
          <w:highlight w:val="none"/>
          <w:lang w:bidi="ar"/>
        </w:rPr>
        <w:t xml:space="preserve">.1.5.4 </w:t>
      </w:r>
      <w:r>
        <w:rPr>
          <w:rFonts w:hint="eastAsia" w:ascii="宋体" w:hAnsi="宋体" w:cs="宋体"/>
          <w:color w:val="auto"/>
          <w:szCs w:val="21"/>
          <w:highlight w:val="none"/>
          <w:lang w:bidi="ar"/>
        </w:rPr>
        <w:t>人工费：是指支付给直接从事建筑安装工程施工作业的建筑工人的各项费用。</w:t>
      </w:r>
    </w:p>
    <w:p w14:paraId="3E585707">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1.1.5.</w:t>
      </w:r>
      <w:r>
        <w:rPr>
          <w:rFonts w:ascii="宋体" w:hAnsi="宋体" w:cs="宋体"/>
          <w:color w:val="auto"/>
          <w:szCs w:val="21"/>
          <w:highlight w:val="none"/>
          <w:lang w:bidi="ar"/>
        </w:rPr>
        <w:t>5</w:t>
      </w:r>
      <w:r>
        <w:rPr>
          <w:rFonts w:hint="eastAsia" w:ascii="宋体" w:hAnsi="宋体" w:cs="宋体"/>
          <w:color w:val="auto"/>
          <w:szCs w:val="21"/>
          <w:highlight w:val="none"/>
          <w:lang w:bidi="ar"/>
        </w:rPr>
        <w:t>暂估价：</w:t>
      </w:r>
      <w:bookmarkStart w:id="880" w:name="_Hlk18973781"/>
      <w:r>
        <w:rPr>
          <w:rFonts w:hint="eastAsia" w:ascii="宋体" w:hAnsi="宋体" w:cs="宋体"/>
          <w:color w:val="auto"/>
          <w:szCs w:val="21"/>
          <w:highlight w:val="none"/>
          <w:lang w:bidi="ar"/>
        </w:rPr>
        <w:t>是指发包人在项目清单中给定的，用于支付必然发生但暂时不能确定价格的专业服务、材料、设备、专业工程的金额。</w:t>
      </w:r>
      <w:bookmarkEnd w:id="880"/>
    </w:p>
    <w:p w14:paraId="1B2220B5">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1.1.5.</w:t>
      </w:r>
      <w:r>
        <w:rPr>
          <w:rFonts w:ascii="宋体" w:hAnsi="宋体" w:cs="宋体"/>
          <w:color w:val="auto"/>
          <w:szCs w:val="21"/>
          <w:highlight w:val="none"/>
          <w:lang w:bidi="ar"/>
        </w:rPr>
        <w:t>6</w:t>
      </w:r>
      <w:r>
        <w:rPr>
          <w:rFonts w:hint="eastAsia" w:ascii="宋体" w:hAnsi="宋体" w:cs="宋体"/>
          <w:color w:val="auto"/>
          <w:szCs w:val="21"/>
          <w:highlight w:val="none"/>
          <w:lang w:bidi="ar"/>
        </w:rPr>
        <w:t>暂列金额：是指发包人在项目清单中给定的，用于在订立协议书时尚未确定或不可预见变更的设计、施工及其所需材料、工程设备、服务等的金额，包括以计日工方式支付的金额。</w:t>
      </w:r>
    </w:p>
    <w:p w14:paraId="73C2B44C">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1.1.5.</w:t>
      </w:r>
      <w:r>
        <w:rPr>
          <w:rFonts w:ascii="宋体" w:hAnsi="宋体" w:cs="宋体"/>
          <w:color w:val="auto"/>
          <w:szCs w:val="21"/>
          <w:highlight w:val="none"/>
          <w:lang w:bidi="ar"/>
        </w:rPr>
        <w:t>7</w:t>
      </w:r>
      <w:r>
        <w:rPr>
          <w:rFonts w:hint="eastAsia" w:ascii="宋体" w:hAnsi="宋体" w:cs="宋体"/>
          <w:color w:val="auto"/>
          <w:szCs w:val="21"/>
          <w:highlight w:val="none"/>
          <w:lang w:bidi="ar"/>
        </w:rPr>
        <w:t>计日工：是指合同履行过程中，承包人完成发包人提出的零星工作或需要采用计日工计价的变更工作时，按合同中约定的单价计价的一种方式。</w:t>
      </w:r>
    </w:p>
    <w:p w14:paraId="0382799B">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1.1.5.</w:t>
      </w:r>
      <w:r>
        <w:rPr>
          <w:rFonts w:ascii="宋体" w:hAnsi="宋体" w:cs="宋体"/>
          <w:color w:val="auto"/>
          <w:szCs w:val="21"/>
          <w:highlight w:val="none"/>
          <w:lang w:bidi="ar"/>
        </w:rPr>
        <w:t>8</w:t>
      </w:r>
      <w:r>
        <w:rPr>
          <w:rFonts w:hint="eastAsia" w:ascii="宋体" w:hAnsi="宋体" w:cs="宋体"/>
          <w:color w:val="auto"/>
          <w:szCs w:val="21"/>
          <w:highlight w:val="none"/>
          <w:lang w:bidi="ar"/>
        </w:rPr>
        <w:t>质量保证金：是指按第14.6款[质量保证金]约定承包人用于保证其在缺陷责任期内履行缺陷修复义务的担保。</w:t>
      </w:r>
    </w:p>
    <w:p w14:paraId="38B988E6">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1.1.6其他</w:t>
      </w:r>
    </w:p>
    <w:p w14:paraId="4BF1E947">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1.1.6.1书面形式：指合同文件、信函、电报、传真、数据电文、电子邮件、会议纪要等可以有形地表现所载内容的形式。</w:t>
      </w:r>
    </w:p>
    <w:p w14:paraId="5758BA8D">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1.1.6.2承包人文件：指由承包人根据合同约定应提交的所有图纸、手册、模型、计算书、软件、函件、洽商性文件和其他技术性文件。</w:t>
      </w:r>
    </w:p>
    <w:p w14:paraId="69147335">
      <w:pPr>
        <w:widowControl/>
        <w:autoSpaceDE w:val="0"/>
        <w:autoSpaceDN w:val="0"/>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1.1.6.3变更：指根据第13条[变更与调整]的约定，经指示或批准对《发包人要求》或工程所做的改变。</w:t>
      </w:r>
    </w:p>
    <w:p w14:paraId="5D1FCB5A">
      <w:pPr>
        <w:widowControl/>
        <w:wordWrap w:val="0"/>
        <w:topLinePunct/>
        <w:adjustRightInd w:val="0"/>
        <w:snapToGrid w:val="0"/>
        <w:spacing w:after="163" w:afterLines="50" w:line="360" w:lineRule="auto"/>
        <w:outlineLvl w:val="2"/>
        <w:rPr>
          <w:rFonts w:ascii="宋体" w:hAnsi="宋体" w:cs="宋体"/>
          <w:color w:val="auto"/>
          <w:highlight w:val="none"/>
        </w:rPr>
      </w:pPr>
      <w:bookmarkStart w:id="881" w:name="_Toc20171724"/>
      <w:bookmarkEnd w:id="881"/>
      <w:bookmarkStart w:id="882" w:name="_Ref509042101"/>
      <w:bookmarkEnd w:id="882"/>
      <w:bookmarkStart w:id="883" w:name="_Ref509042104"/>
      <w:bookmarkEnd w:id="883"/>
      <w:bookmarkStart w:id="884" w:name="_Ref522730353"/>
      <w:bookmarkEnd w:id="884"/>
      <w:bookmarkStart w:id="885" w:name="_Ref522730349"/>
      <w:bookmarkStart w:id="886" w:name="_Toc1171"/>
      <w:bookmarkStart w:id="887" w:name="_Toc58860159"/>
      <w:bookmarkStart w:id="888" w:name="_Toc84930709"/>
      <w:bookmarkStart w:id="889" w:name="_Toc51766572"/>
      <w:bookmarkStart w:id="890" w:name="_Toc170932440"/>
      <w:bookmarkStart w:id="891" w:name="_Toc22618"/>
      <w:bookmarkStart w:id="892" w:name="_Toc7677"/>
      <w:bookmarkStart w:id="893" w:name="_Toc15911"/>
      <w:r>
        <w:rPr>
          <w:rFonts w:hint="eastAsia" w:ascii="宋体" w:hAnsi="宋体" w:cs="宋体"/>
          <w:color w:val="auto"/>
          <w:szCs w:val="21"/>
          <w:highlight w:val="none"/>
          <w:lang w:bidi="ar"/>
        </w:rPr>
        <w:t>1</w:t>
      </w:r>
      <w:bookmarkEnd w:id="885"/>
      <w:r>
        <w:rPr>
          <w:rFonts w:hint="eastAsia" w:ascii="宋体" w:hAnsi="宋体" w:cs="宋体"/>
          <w:color w:val="auto"/>
          <w:szCs w:val="21"/>
          <w:highlight w:val="none"/>
          <w:lang w:bidi="ar"/>
        </w:rPr>
        <w:t>.2  语言文字</w:t>
      </w:r>
      <w:bookmarkEnd w:id="886"/>
      <w:bookmarkEnd w:id="887"/>
      <w:bookmarkEnd w:id="888"/>
      <w:bookmarkEnd w:id="889"/>
      <w:bookmarkEnd w:id="890"/>
      <w:bookmarkEnd w:id="891"/>
      <w:bookmarkEnd w:id="892"/>
      <w:bookmarkEnd w:id="893"/>
      <w:r>
        <w:rPr>
          <w:rFonts w:hint="eastAsia" w:ascii="宋体" w:hAnsi="宋体" w:cs="宋体"/>
          <w:color w:val="auto"/>
          <w:szCs w:val="21"/>
          <w:highlight w:val="none"/>
          <w:lang w:bidi="ar"/>
        </w:rPr>
        <w:t xml:space="preserve"> </w:t>
      </w:r>
    </w:p>
    <w:p w14:paraId="76DC2FE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合同文件以中国的汉语简体语言文字编写、解释和说明。专用术语使用外文的，应附有中文注释。合同当事人在专用合同条件约定使用两种及以上语言时，汉语为优先解释和说明合同的语言。</w:t>
      </w:r>
    </w:p>
    <w:p w14:paraId="2DEB9AB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与合同有关的联络应使用专用合同条件约定的语言。如没有约定，则应使用中国的汉语简体语言文字。</w:t>
      </w:r>
    </w:p>
    <w:p w14:paraId="08D8F300">
      <w:pPr>
        <w:widowControl/>
        <w:wordWrap w:val="0"/>
        <w:topLinePunct/>
        <w:adjustRightInd w:val="0"/>
        <w:snapToGrid w:val="0"/>
        <w:spacing w:after="163" w:afterLines="50" w:line="360" w:lineRule="auto"/>
        <w:outlineLvl w:val="2"/>
        <w:rPr>
          <w:rFonts w:ascii="宋体" w:hAnsi="宋体" w:cs="宋体"/>
          <w:color w:val="auto"/>
          <w:highlight w:val="none"/>
        </w:rPr>
      </w:pPr>
      <w:bookmarkStart w:id="894" w:name="_Ref531949539"/>
      <w:bookmarkEnd w:id="894"/>
      <w:bookmarkStart w:id="895" w:name="_Toc20171725"/>
      <w:bookmarkEnd w:id="895"/>
      <w:bookmarkStart w:id="896" w:name="_Ref531949543"/>
      <w:bookmarkStart w:id="897" w:name="_Toc8304"/>
      <w:bookmarkStart w:id="898" w:name="_Toc170932441"/>
      <w:bookmarkStart w:id="899" w:name="_Toc21263"/>
      <w:bookmarkStart w:id="900" w:name="_Toc20312"/>
      <w:bookmarkStart w:id="901" w:name="_Toc19079"/>
      <w:bookmarkStart w:id="902" w:name="_Toc58860160"/>
      <w:bookmarkStart w:id="903" w:name="_Toc84930710"/>
      <w:bookmarkStart w:id="904" w:name="_Toc51766573"/>
      <w:r>
        <w:rPr>
          <w:rFonts w:hint="eastAsia" w:ascii="宋体" w:hAnsi="宋体" w:cs="宋体"/>
          <w:color w:val="auto"/>
          <w:szCs w:val="21"/>
          <w:highlight w:val="none"/>
          <w:lang w:bidi="ar"/>
        </w:rPr>
        <w:t>1</w:t>
      </w:r>
      <w:bookmarkEnd w:id="896"/>
      <w:r>
        <w:rPr>
          <w:rFonts w:hint="eastAsia" w:ascii="宋体" w:hAnsi="宋体" w:cs="宋体"/>
          <w:color w:val="auto"/>
          <w:szCs w:val="21"/>
          <w:highlight w:val="none"/>
          <w:lang w:bidi="ar"/>
        </w:rPr>
        <w:t>.3  法律</w:t>
      </w:r>
      <w:bookmarkEnd w:id="897"/>
      <w:bookmarkEnd w:id="898"/>
      <w:bookmarkEnd w:id="899"/>
      <w:bookmarkEnd w:id="900"/>
      <w:bookmarkEnd w:id="901"/>
      <w:bookmarkEnd w:id="902"/>
      <w:bookmarkEnd w:id="903"/>
      <w:bookmarkEnd w:id="904"/>
    </w:p>
    <w:p w14:paraId="30A7271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合同所称法律是指中华人民共和国法律、行政法规、部门规章，以及工程所在地的地方法规、自治条例、单行条例和地方政府规章等。</w:t>
      </w:r>
    </w:p>
    <w:p w14:paraId="5616DF8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合同当事人可以在专用合同条件中约定合同适用的其他规范性文件。</w:t>
      </w:r>
    </w:p>
    <w:p w14:paraId="230041EF">
      <w:pPr>
        <w:widowControl/>
        <w:wordWrap w:val="0"/>
        <w:topLinePunct/>
        <w:adjustRightInd w:val="0"/>
        <w:snapToGrid w:val="0"/>
        <w:spacing w:after="163" w:afterLines="50" w:line="360" w:lineRule="auto"/>
        <w:outlineLvl w:val="2"/>
        <w:rPr>
          <w:rFonts w:ascii="宋体" w:hAnsi="宋体" w:cs="宋体"/>
          <w:color w:val="auto"/>
          <w:highlight w:val="none"/>
        </w:rPr>
      </w:pPr>
      <w:bookmarkStart w:id="905" w:name="_Toc20171726"/>
      <w:bookmarkEnd w:id="905"/>
      <w:bookmarkStart w:id="906" w:name="_Ref531949594"/>
      <w:bookmarkEnd w:id="906"/>
      <w:bookmarkStart w:id="907" w:name="_Ref531949589"/>
      <w:bookmarkStart w:id="908" w:name="_Toc13940"/>
      <w:bookmarkStart w:id="909" w:name="_Toc84930711"/>
      <w:bookmarkStart w:id="910" w:name="_Toc58860161"/>
      <w:bookmarkStart w:id="911" w:name="_Toc17552"/>
      <w:bookmarkStart w:id="912" w:name="_Toc51766574"/>
      <w:bookmarkStart w:id="913" w:name="_Toc170932442"/>
      <w:bookmarkStart w:id="914" w:name="_Toc17914"/>
      <w:bookmarkStart w:id="915" w:name="_Toc14924"/>
      <w:r>
        <w:rPr>
          <w:rFonts w:hint="eastAsia" w:ascii="宋体" w:hAnsi="宋体" w:cs="宋体"/>
          <w:color w:val="auto"/>
          <w:szCs w:val="21"/>
          <w:highlight w:val="none"/>
          <w:lang w:bidi="ar"/>
        </w:rPr>
        <w:t>1</w:t>
      </w:r>
      <w:bookmarkEnd w:id="907"/>
      <w:r>
        <w:rPr>
          <w:rFonts w:hint="eastAsia" w:ascii="宋体" w:hAnsi="宋体" w:cs="宋体"/>
          <w:color w:val="auto"/>
          <w:szCs w:val="21"/>
          <w:highlight w:val="none"/>
          <w:lang w:bidi="ar"/>
        </w:rPr>
        <w:t>.4  标准和规范</w:t>
      </w:r>
      <w:bookmarkEnd w:id="908"/>
      <w:bookmarkEnd w:id="909"/>
      <w:bookmarkEnd w:id="910"/>
      <w:bookmarkEnd w:id="911"/>
      <w:bookmarkEnd w:id="912"/>
      <w:bookmarkEnd w:id="913"/>
      <w:bookmarkEnd w:id="914"/>
      <w:bookmarkEnd w:id="915"/>
    </w:p>
    <w:p w14:paraId="32AADDFF">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16" w:name="_Ref4420991"/>
      <w:bookmarkEnd w:id="916"/>
      <w:r>
        <w:rPr>
          <w:rFonts w:hint="eastAsia" w:ascii="宋体" w:hAnsi="宋体" w:cs="宋体"/>
          <w:color w:val="auto"/>
          <w:szCs w:val="21"/>
          <w:highlight w:val="none"/>
          <w:lang w:bidi="ar"/>
        </w:rPr>
        <w:t>1.4.1适用于工程的国家标准、行业标准、工程所在地的地方性标准，以及相应的规范、规程等，合同当事人有特别要求的，应在专用合同条件中约定。</w:t>
      </w:r>
    </w:p>
    <w:p w14:paraId="6F9E7838">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17" w:name="_Ref531949642"/>
      <w:bookmarkEnd w:id="917"/>
      <w:r>
        <w:rPr>
          <w:rFonts w:hint="eastAsia" w:ascii="宋体" w:hAnsi="宋体" w:cs="宋体"/>
          <w:color w:val="auto"/>
          <w:szCs w:val="21"/>
          <w:highlight w:val="none"/>
          <w:lang w:bidi="ar"/>
        </w:rPr>
        <w:t>1.4.2发包人要求使用国外标准、规范的，发包人负责提供原文版本和中文译本，并在专用合同条件中约定提供标准规范的名称、份数和时间。</w:t>
      </w:r>
    </w:p>
    <w:p w14:paraId="03954ED1">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18" w:name="_Ref531949657"/>
      <w:bookmarkEnd w:id="918"/>
      <w:r>
        <w:rPr>
          <w:rFonts w:hint="eastAsia" w:ascii="宋体" w:hAnsi="宋体" w:cs="宋体"/>
          <w:color w:val="auto"/>
          <w:szCs w:val="21"/>
          <w:highlight w:val="none"/>
          <w:lang w:bidi="ar"/>
        </w:rPr>
        <w:t>1.4.3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14:paraId="494E40D2">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19" w:name="_Ref4421272"/>
      <w:bookmarkEnd w:id="919"/>
      <w:r>
        <w:rPr>
          <w:rFonts w:hint="eastAsia" w:ascii="宋体" w:hAnsi="宋体" w:cs="宋体"/>
          <w:color w:val="auto"/>
          <w:szCs w:val="21"/>
          <w:highlight w:val="none"/>
          <w:lang w:bidi="ar"/>
        </w:rPr>
        <w:t>1.4.4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14:paraId="1DF7FF15">
      <w:pPr>
        <w:widowControl/>
        <w:wordWrap w:val="0"/>
        <w:topLinePunct/>
        <w:adjustRightInd w:val="0"/>
        <w:snapToGrid w:val="0"/>
        <w:spacing w:after="163" w:afterLines="50" w:line="360" w:lineRule="auto"/>
        <w:outlineLvl w:val="2"/>
        <w:rPr>
          <w:rFonts w:ascii="宋体" w:hAnsi="宋体" w:cs="宋体"/>
          <w:color w:val="auto"/>
          <w:highlight w:val="none"/>
        </w:rPr>
      </w:pPr>
      <w:bookmarkStart w:id="920" w:name="_Toc20171727"/>
      <w:bookmarkEnd w:id="920"/>
      <w:bookmarkStart w:id="921" w:name="_Ref4421717"/>
      <w:bookmarkStart w:id="922" w:name="_Toc13096"/>
      <w:bookmarkStart w:id="923" w:name="_Toc12096"/>
      <w:bookmarkStart w:id="924" w:name="_Toc84930712"/>
      <w:bookmarkStart w:id="925" w:name="_Toc170932443"/>
      <w:bookmarkStart w:id="926" w:name="_Toc51766575"/>
      <w:bookmarkStart w:id="927" w:name="_Toc20449"/>
      <w:bookmarkStart w:id="928" w:name="_Toc58860162"/>
      <w:bookmarkStart w:id="929" w:name="_Toc9094"/>
      <w:r>
        <w:rPr>
          <w:rFonts w:hint="eastAsia" w:ascii="宋体" w:hAnsi="宋体" w:cs="宋体"/>
          <w:color w:val="auto"/>
          <w:szCs w:val="21"/>
          <w:highlight w:val="none"/>
          <w:lang w:bidi="ar"/>
        </w:rPr>
        <w:t>1</w:t>
      </w:r>
      <w:bookmarkEnd w:id="921"/>
      <w:r>
        <w:rPr>
          <w:rFonts w:hint="eastAsia" w:ascii="宋体" w:hAnsi="宋体" w:cs="宋体"/>
          <w:color w:val="auto"/>
          <w:szCs w:val="21"/>
          <w:highlight w:val="none"/>
          <w:lang w:bidi="ar"/>
        </w:rPr>
        <w:t>.5  合同文件的优先顺序</w:t>
      </w:r>
      <w:bookmarkEnd w:id="922"/>
      <w:bookmarkEnd w:id="923"/>
      <w:bookmarkEnd w:id="924"/>
      <w:bookmarkEnd w:id="925"/>
      <w:bookmarkEnd w:id="926"/>
      <w:bookmarkEnd w:id="927"/>
      <w:bookmarkEnd w:id="928"/>
      <w:bookmarkEnd w:id="929"/>
    </w:p>
    <w:p w14:paraId="55EA701E">
      <w:pPr>
        <w:widowControl/>
        <w:adjustRightInd w:val="0"/>
        <w:snapToGrid w:val="0"/>
        <w:spacing w:after="163" w:afterLines="50" w:line="360" w:lineRule="auto"/>
        <w:ind w:firstLine="420" w:firstLineChars="200"/>
        <w:rPr>
          <w:rFonts w:ascii="宋体" w:hAnsi="宋体" w:cs="宋体"/>
          <w:color w:val="auto"/>
          <w:kern w:val="0"/>
          <w:highlight w:val="none"/>
        </w:rPr>
      </w:pPr>
      <w:bookmarkStart w:id="930" w:name="_Ref531948776"/>
      <w:bookmarkEnd w:id="930"/>
      <w:r>
        <w:rPr>
          <w:rFonts w:hint="eastAsia" w:ascii="宋体" w:hAnsi="宋体" w:cs="宋体"/>
          <w:color w:val="auto"/>
          <w:kern w:val="0"/>
          <w:szCs w:val="21"/>
          <w:highlight w:val="none"/>
          <w:lang w:bidi="ar"/>
        </w:rPr>
        <w:t>组成合同的各项文件应互相解释，互为说明。除专用合同条件另有约定外，解释合同文件的优先顺序如下：</w:t>
      </w:r>
    </w:p>
    <w:p w14:paraId="11C66F1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（1）合同协议书；</w:t>
      </w:r>
    </w:p>
    <w:p w14:paraId="59E40E9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（2）中标通知书（如果有）；</w:t>
      </w:r>
    </w:p>
    <w:p w14:paraId="19B05AD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（3）投标函及投标函附录（如果有）；</w:t>
      </w:r>
    </w:p>
    <w:p w14:paraId="21922F5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（4）专用合同条件及《发包人要求》等附件；</w:t>
      </w:r>
    </w:p>
    <w:p w14:paraId="1593103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（5）通用合同条件；</w:t>
      </w:r>
    </w:p>
    <w:p w14:paraId="1DE9AB7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（6）承包人建议书； </w:t>
      </w:r>
    </w:p>
    <w:p w14:paraId="7DFF0DA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7</w:t>
      </w:r>
      <w:r>
        <w:rPr>
          <w:rFonts w:hint="eastAsia" w:ascii="宋体" w:hAnsi="宋体" w:cs="宋体"/>
          <w:color w:val="auto"/>
          <w:kern w:val="0"/>
          <w:szCs w:val="21"/>
          <w:highlight w:val="none"/>
          <w:lang w:bidi="ar"/>
        </w:rPr>
        <w:t>）价格清单；</w:t>
      </w:r>
    </w:p>
    <w:p w14:paraId="502109F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8</w:t>
      </w:r>
      <w:r>
        <w:rPr>
          <w:rFonts w:hint="eastAsia" w:ascii="宋体" w:hAnsi="宋体" w:cs="宋体"/>
          <w:color w:val="auto"/>
          <w:kern w:val="0"/>
          <w:szCs w:val="21"/>
          <w:highlight w:val="none"/>
          <w:lang w:bidi="ar"/>
        </w:rPr>
        <w:t>）双方约定的其他合同文件。</w:t>
      </w:r>
    </w:p>
    <w:p w14:paraId="13518B75">
      <w:pPr>
        <w:widowControl/>
        <w:adjustRightInd w:val="0"/>
        <w:snapToGrid w:val="0"/>
        <w:spacing w:after="163" w:afterLines="50" w:line="360" w:lineRule="auto"/>
        <w:ind w:firstLine="420" w:firstLineChars="200"/>
        <w:rPr>
          <w:rFonts w:ascii="宋体" w:hAnsi="宋体" w:cs="宋体"/>
          <w:color w:val="auto"/>
          <w:kern w:val="0"/>
          <w:highlight w:val="none"/>
        </w:rPr>
      </w:pPr>
      <w:bookmarkStart w:id="931" w:name="_Hlk18951547"/>
      <w:bookmarkEnd w:id="931"/>
      <w:r>
        <w:rPr>
          <w:rFonts w:hint="eastAsia" w:ascii="宋体" w:hAnsi="宋体" w:cs="宋体"/>
          <w:color w:val="auto"/>
          <w:kern w:val="0"/>
          <w:szCs w:val="21"/>
          <w:highlight w:val="none"/>
          <w:lang w:bidi="ar"/>
        </w:rPr>
        <w:t>上述各项合同文件包括合同当事人就该项合同文件所作出的补充和修改，属于同一类内容的文件，应以最新签署的为准。</w:t>
      </w:r>
    </w:p>
    <w:p w14:paraId="21FA999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在合同订立及履行过程中形成的与合同有关的文件均构成合同文件组成部分，并根据其性质确定优先解释顺序。</w:t>
      </w:r>
    </w:p>
    <w:p w14:paraId="7D2F4C38">
      <w:pPr>
        <w:widowControl/>
        <w:wordWrap w:val="0"/>
        <w:topLinePunct/>
        <w:adjustRightInd w:val="0"/>
        <w:snapToGrid w:val="0"/>
        <w:spacing w:after="163" w:afterLines="50" w:line="360" w:lineRule="auto"/>
        <w:outlineLvl w:val="2"/>
        <w:rPr>
          <w:rFonts w:ascii="宋体" w:hAnsi="宋体" w:cs="宋体"/>
          <w:color w:val="auto"/>
          <w:highlight w:val="none"/>
        </w:rPr>
      </w:pPr>
      <w:bookmarkStart w:id="932" w:name="_Ref531949807"/>
      <w:bookmarkEnd w:id="932"/>
      <w:bookmarkStart w:id="933" w:name="_Ref523403409"/>
      <w:bookmarkEnd w:id="933"/>
      <w:bookmarkStart w:id="934" w:name="_Ref531949822"/>
      <w:bookmarkEnd w:id="934"/>
      <w:bookmarkStart w:id="935" w:name="_Ref4422060"/>
      <w:bookmarkEnd w:id="935"/>
      <w:bookmarkStart w:id="936" w:name="_Ref523403776"/>
      <w:bookmarkEnd w:id="936"/>
      <w:bookmarkStart w:id="937" w:name="_Toc20171728"/>
      <w:bookmarkEnd w:id="937"/>
      <w:bookmarkStart w:id="938" w:name="_Ref531949803"/>
      <w:bookmarkEnd w:id="938"/>
      <w:bookmarkStart w:id="939" w:name="_Ref11917818"/>
      <w:bookmarkStart w:id="940" w:name="_Toc170932444"/>
      <w:bookmarkStart w:id="941" w:name="_Toc5752"/>
      <w:bookmarkStart w:id="942" w:name="_Toc15048"/>
      <w:bookmarkStart w:id="943" w:name="_Toc58860163"/>
      <w:bookmarkStart w:id="944" w:name="_Toc3242"/>
      <w:bookmarkStart w:id="945" w:name="_Toc51766576"/>
      <w:bookmarkStart w:id="946" w:name="_Toc84930713"/>
      <w:bookmarkStart w:id="947" w:name="_Toc19770"/>
      <w:r>
        <w:rPr>
          <w:rFonts w:hint="eastAsia" w:ascii="宋体" w:hAnsi="宋体" w:cs="宋体"/>
          <w:color w:val="auto"/>
          <w:szCs w:val="21"/>
          <w:highlight w:val="none"/>
          <w:lang w:bidi="ar"/>
        </w:rPr>
        <w:t>1</w:t>
      </w:r>
      <w:bookmarkEnd w:id="939"/>
      <w:r>
        <w:rPr>
          <w:rFonts w:hint="eastAsia" w:ascii="宋体" w:hAnsi="宋体" w:cs="宋体"/>
          <w:color w:val="auto"/>
          <w:szCs w:val="21"/>
          <w:highlight w:val="none"/>
          <w:lang w:bidi="ar"/>
        </w:rPr>
        <w:t>.6  文件的提供和照管</w:t>
      </w:r>
      <w:bookmarkEnd w:id="940"/>
      <w:bookmarkEnd w:id="941"/>
      <w:bookmarkEnd w:id="942"/>
      <w:bookmarkEnd w:id="943"/>
      <w:bookmarkEnd w:id="944"/>
      <w:bookmarkEnd w:id="945"/>
      <w:bookmarkEnd w:id="946"/>
      <w:bookmarkEnd w:id="947"/>
    </w:p>
    <w:p w14:paraId="33062ED6">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48" w:name="_Ref4421991"/>
      <w:bookmarkEnd w:id="948"/>
      <w:r>
        <w:rPr>
          <w:rFonts w:hint="eastAsia" w:ascii="宋体" w:hAnsi="宋体" w:cs="宋体"/>
          <w:color w:val="auto"/>
          <w:szCs w:val="21"/>
          <w:highlight w:val="none"/>
          <w:lang w:bidi="ar"/>
        </w:rPr>
        <w:t>1.6.1发包人文件的提供</w:t>
      </w:r>
    </w:p>
    <w:p w14:paraId="60F448C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42FF00FD">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49" w:name="_Ref4422317"/>
      <w:bookmarkEnd w:id="949"/>
      <w:r>
        <w:rPr>
          <w:rFonts w:hint="eastAsia" w:ascii="宋体" w:hAnsi="宋体" w:cs="宋体"/>
          <w:color w:val="auto"/>
          <w:szCs w:val="21"/>
          <w:highlight w:val="none"/>
          <w:lang w:bidi="ar"/>
        </w:rPr>
        <w:t>1.6.2承包人文件的提供</w:t>
      </w:r>
    </w:p>
    <w:p w14:paraId="62A3866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除专用合同条件另有约定外，承包人文件应包含下列内容，并用第1.2款[语言文字]约定的语言制作：</w:t>
      </w:r>
    </w:p>
    <w:p w14:paraId="3420A93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（1）《发包人要求》中规定的相关文件；</w:t>
      </w:r>
    </w:p>
    <w:p w14:paraId="5CD746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（2）满足工程相关行政审批手续所必须的应由承包人负责的相关文件；</w:t>
      </w:r>
    </w:p>
    <w:p w14:paraId="672F711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（3）第5.4款[竣工文件]与第5.5款[操作和维修手册]中要求的相关文件。</w:t>
      </w:r>
    </w:p>
    <w:p w14:paraId="029861D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49AE2F96">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1.6.3文件错误的通知</w:t>
      </w:r>
    </w:p>
    <w:p w14:paraId="134991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任何一方发现文件中存在明显的错误或疏忽，应及时通知另一方。</w:t>
      </w:r>
    </w:p>
    <w:p w14:paraId="0EC5281E">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50" w:name="_Ref4678410"/>
      <w:bookmarkEnd w:id="950"/>
      <w:bookmarkStart w:id="951" w:name="_Ref11957673"/>
      <w:r>
        <w:rPr>
          <w:rFonts w:hint="eastAsia" w:ascii="宋体" w:hAnsi="宋体" w:cs="宋体"/>
          <w:color w:val="auto"/>
          <w:szCs w:val="21"/>
          <w:highlight w:val="none"/>
          <w:lang w:bidi="ar"/>
        </w:rPr>
        <w:t>1</w:t>
      </w:r>
      <w:bookmarkEnd w:id="951"/>
      <w:r>
        <w:rPr>
          <w:rFonts w:hint="eastAsia" w:ascii="宋体" w:hAnsi="宋体" w:cs="宋体"/>
          <w:color w:val="auto"/>
          <w:szCs w:val="21"/>
          <w:highlight w:val="none"/>
          <w:lang w:bidi="ar"/>
        </w:rPr>
        <w:t>.6.4文件的照管</w:t>
      </w:r>
    </w:p>
    <w:p w14:paraId="5B52594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50E0FB14">
      <w:pPr>
        <w:widowControl/>
        <w:wordWrap w:val="0"/>
        <w:topLinePunct/>
        <w:adjustRightInd w:val="0"/>
        <w:snapToGrid w:val="0"/>
        <w:spacing w:after="163" w:afterLines="50" w:line="360" w:lineRule="auto"/>
        <w:outlineLvl w:val="2"/>
        <w:rPr>
          <w:rFonts w:ascii="宋体" w:hAnsi="宋体" w:cs="宋体"/>
          <w:color w:val="auto"/>
          <w:highlight w:val="none"/>
        </w:rPr>
      </w:pPr>
      <w:bookmarkStart w:id="952" w:name="_Ref4415170"/>
      <w:bookmarkEnd w:id="952"/>
      <w:bookmarkStart w:id="953" w:name="_Toc20171729"/>
      <w:bookmarkStart w:id="954" w:name="_Toc11695"/>
      <w:bookmarkStart w:id="955" w:name="_Toc51766577"/>
      <w:bookmarkStart w:id="956" w:name="_Toc170932445"/>
      <w:bookmarkStart w:id="957" w:name="_Toc58860164"/>
      <w:bookmarkStart w:id="958" w:name="_Toc84930714"/>
      <w:bookmarkStart w:id="959" w:name="_Toc12557"/>
      <w:bookmarkStart w:id="960" w:name="_Toc13577"/>
      <w:bookmarkStart w:id="961" w:name="_Toc10317"/>
      <w:r>
        <w:rPr>
          <w:rFonts w:hint="eastAsia" w:ascii="宋体" w:hAnsi="宋体" w:cs="宋体"/>
          <w:color w:val="auto"/>
          <w:szCs w:val="21"/>
          <w:highlight w:val="none"/>
          <w:lang w:bidi="ar"/>
        </w:rPr>
        <w:t>1</w:t>
      </w:r>
      <w:bookmarkEnd w:id="953"/>
      <w:r>
        <w:rPr>
          <w:rFonts w:hint="eastAsia" w:ascii="宋体" w:hAnsi="宋体" w:cs="宋体"/>
          <w:color w:val="auto"/>
          <w:szCs w:val="21"/>
          <w:highlight w:val="none"/>
          <w:lang w:bidi="ar"/>
        </w:rPr>
        <w:t>.7  联络</w:t>
      </w:r>
      <w:bookmarkEnd w:id="954"/>
      <w:bookmarkEnd w:id="955"/>
      <w:bookmarkEnd w:id="956"/>
      <w:bookmarkEnd w:id="957"/>
      <w:bookmarkEnd w:id="958"/>
      <w:bookmarkEnd w:id="959"/>
      <w:bookmarkEnd w:id="960"/>
      <w:bookmarkEnd w:id="961"/>
    </w:p>
    <w:p w14:paraId="68AA7260">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1.7.1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77970356">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62" w:name="_Ref531949897"/>
      <w:bookmarkEnd w:id="962"/>
      <w:r>
        <w:rPr>
          <w:rFonts w:hint="eastAsia" w:ascii="宋体" w:hAnsi="宋体" w:cs="宋体"/>
          <w:color w:val="auto"/>
          <w:szCs w:val="21"/>
          <w:highlight w:val="none"/>
          <w:lang w:bidi="ar"/>
        </w:rPr>
        <w:t>1.7.2发包人和承包人应在专用合同条件中约定各自的送达方式和收件地址。任何一方合同当事人指定的送达方式或收件地址发生变动的，应提前3天以书面形式通知对方。</w:t>
      </w:r>
    </w:p>
    <w:p w14:paraId="3E13331F">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1.7.3发包人和承包人应当及时签收另一方通过约定的送达方式送达至收件地址的来往文件。拒不签收的，由此增加的费用和（或）延误的工期由拒绝接收一方承担。</w:t>
      </w:r>
    </w:p>
    <w:p w14:paraId="2DD955BE">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1.7.4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D9857EC">
      <w:pPr>
        <w:widowControl/>
        <w:wordWrap w:val="0"/>
        <w:topLinePunct/>
        <w:adjustRightInd w:val="0"/>
        <w:snapToGrid w:val="0"/>
        <w:spacing w:after="163" w:afterLines="50" w:line="360" w:lineRule="auto"/>
        <w:outlineLvl w:val="2"/>
        <w:rPr>
          <w:rFonts w:ascii="宋体" w:hAnsi="宋体" w:cs="宋体"/>
          <w:color w:val="auto"/>
          <w:highlight w:val="none"/>
        </w:rPr>
      </w:pPr>
      <w:bookmarkStart w:id="963" w:name="_Toc20171730"/>
      <w:bookmarkEnd w:id="963"/>
      <w:bookmarkStart w:id="964" w:name="_Toc20465"/>
      <w:bookmarkStart w:id="965" w:name="_Toc23312"/>
      <w:bookmarkStart w:id="966" w:name="_Toc25797"/>
      <w:bookmarkStart w:id="967" w:name="_Toc51766578"/>
      <w:bookmarkStart w:id="968" w:name="_Toc170932446"/>
      <w:bookmarkStart w:id="969" w:name="_Toc58860165"/>
      <w:bookmarkStart w:id="970" w:name="_Toc24948"/>
      <w:bookmarkStart w:id="971" w:name="_Toc84930715"/>
      <w:r>
        <w:rPr>
          <w:rFonts w:hint="eastAsia" w:ascii="宋体" w:hAnsi="宋体" w:cs="宋体"/>
          <w:color w:val="auto"/>
          <w:szCs w:val="21"/>
          <w:highlight w:val="none"/>
          <w:lang w:bidi="ar"/>
        </w:rPr>
        <w:t>1.8  严禁贿赂</w:t>
      </w:r>
      <w:bookmarkEnd w:id="964"/>
      <w:bookmarkEnd w:id="965"/>
      <w:bookmarkEnd w:id="966"/>
      <w:bookmarkEnd w:id="967"/>
      <w:bookmarkEnd w:id="968"/>
      <w:bookmarkEnd w:id="969"/>
      <w:bookmarkEnd w:id="970"/>
      <w:bookmarkEnd w:id="971"/>
    </w:p>
    <w:p w14:paraId="055743C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合同当事人不得以贿赂或变相贿赂的方式，谋取非法利益或损害对方权益。因一方合同当事人的贿赂造成对方损失的，应赔偿损失，并承担相应的法律责任。</w:t>
      </w:r>
    </w:p>
    <w:p w14:paraId="0E52B83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承包人不得与工程师或发包人聘请的第三方串通损害发包人利益。未经发包人书面同意，承包人不得为工程师提供合同约定以外的通讯设备、交通工具及其他任何形式的利益，不得向工程师支付报酬。</w:t>
      </w:r>
    </w:p>
    <w:p w14:paraId="076D78F8">
      <w:pPr>
        <w:widowControl/>
        <w:wordWrap w:val="0"/>
        <w:topLinePunct/>
        <w:adjustRightInd w:val="0"/>
        <w:snapToGrid w:val="0"/>
        <w:spacing w:after="163" w:afterLines="50" w:line="360" w:lineRule="auto"/>
        <w:outlineLvl w:val="2"/>
        <w:rPr>
          <w:rFonts w:ascii="宋体" w:hAnsi="宋体" w:cs="宋体"/>
          <w:color w:val="auto"/>
          <w:highlight w:val="none"/>
        </w:rPr>
      </w:pPr>
      <w:bookmarkStart w:id="972" w:name="_Toc20171731"/>
      <w:bookmarkEnd w:id="972"/>
      <w:bookmarkStart w:id="973" w:name="_Toc84930716"/>
      <w:bookmarkStart w:id="974" w:name="_Toc11840"/>
      <w:bookmarkStart w:id="975" w:name="_Toc7748"/>
      <w:bookmarkStart w:id="976" w:name="_Toc170932447"/>
      <w:bookmarkStart w:id="977" w:name="_Toc28524"/>
      <w:bookmarkStart w:id="978" w:name="_Toc23889"/>
      <w:bookmarkStart w:id="979" w:name="_Toc51766579"/>
      <w:bookmarkStart w:id="980" w:name="_Toc58860166"/>
      <w:r>
        <w:rPr>
          <w:rFonts w:hint="eastAsia" w:ascii="宋体" w:hAnsi="宋体" w:cs="宋体"/>
          <w:color w:val="auto"/>
          <w:szCs w:val="21"/>
          <w:highlight w:val="none"/>
          <w:lang w:bidi="ar"/>
        </w:rPr>
        <w:t>1.9  化石、文物</w:t>
      </w:r>
      <w:bookmarkEnd w:id="973"/>
      <w:bookmarkEnd w:id="974"/>
      <w:bookmarkEnd w:id="975"/>
      <w:bookmarkEnd w:id="976"/>
      <w:bookmarkEnd w:id="977"/>
      <w:bookmarkEnd w:id="978"/>
      <w:bookmarkEnd w:id="979"/>
      <w:bookmarkEnd w:id="980"/>
    </w:p>
    <w:p w14:paraId="2720E4C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34ED627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发包人、工程师和承包人应按有关政府行政管理部门要求采取妥善的保护措施，由此增加的费用和（或）延误的工期由发包人承担。</w:t>
      </w:r>
    </w:p>
    <w:p w14:paraId="1516CA6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承包人发现文物后不及时报告或隐瞒不报，致使文物丢失或损坏的，应赔偿损失，并承担相应的法律责任。</w:t>
      </w:r>
    </w:p>
    <w:p w14:paraId="09F13505">
      <w:pPr>
        <w:widowControl/>
        <w:wordWrap w:val="0"/>
        <w:topLinePunct/>
        <w:adjustRightInd w:val="0"/>
        <w:snapToGrid w:val="0"/>
        <w:spacing w:after="163" w:afterLines="50" w:line="360" w:lineRule="auto"/>
        <w:outlineLvl w:val="2"/>
        <w:rPr>
          <w:rFonts w:ascii="宋体" w:hAnsi="宋体" w:cs="宋体"/>
          <w:color w:val="auto"/>
          <w:highlight w:val="none"/>
        </w:rPr>
      </w:pPr>
      <w:bookmarkStart w:id="981" w:name="_Ref531949766"/>
      <w:bookmarkEnd w:id="981"/>
      <w:bookmarkStart w:id="982" w:name="_Ref531949770"/>
      <w:bookmarkEnd w:id="982"/>
      <w:bookmarkStart w:id="983" w:name="_Ref4423426"/>
      <w:bookmarkEnd w:id="983"/>
      <w:bookmarkStart w:id="984" w:name="_Ref531949855"/>
      <w:bookmarkEnd w:id="984"/>
      <w:bookmarkStart w:id="985" w:name="_Ref531949826"/>
      <w:bookmarkEnd w:id="985"/>
      <w:bookmarkStart w:id="986" w:name="_Toc20171732"/>
      <w:bookmarkEnd w:id="986"/>
      <w:bookmarkStart w:id="987" w:name="_Ref531949841"/>
      <w:bookmarkStart w:id="988" w:name="_Toc23840"/>
      <w:bookmarkStart w:id="989" w:name="_Toc58860167"/>
      <w:bookmarkStart w:id="990" w:name="_Toc21125"/>
      <w:bookmarkStart w:id="991" w:name="_Toc31658"/>
      <w:bookmarkStart w:id="992" w:name="_Toc51766580"/>
      <w:bookmarkStart w:id="993" w:name="_Toc170932448"/>
      <w:bookmarkStart w:id="994" w:name="_Toc84930717"/>
      <w:bookmarkStart w:id="995" w:name="_Toc14656"/>
      <w:r>
        <w:rPr>
          <w:rFonts w:hint="eastAsia" w:ascii="宋体" w:hAnsi="宋体" w:cs="宋体"/>
          <w:color w:val="auto"/>
          <w:szCs w:val="21"/>
          <w:highlight w:val="none"/>
          <w:lang w:bidi="ar"/>
        </w:rPr>
        <w:t>1</w:t>
      </w:r>
      <w:bookmarkEnd w:id="987"/>
      <w:r>
        <w:rPr>
          <w:rFonts w:hint="eastAsia" w:ascii="宋体" w:hAnsi="宋体" w:cs="宋体"/>
          <w:color w:val="auto"/>
          <w:szCs w:val="21"/>
          <w:highlight w:val="none"/>
          <w:lang w:bidi="ar"/>
        </w:rPr>
        <w:t>.10  知识产权</w:t>
      </w:r>
      <w:bookmarkEnd w:id="988"/>
      <w:bookmarkEnd w:id="989"/>
      <w:bookmarkEnd w:id="990"/>
      <w:bookmarkEnd w:id="991"/>
      <w:bookmarkEnd w:id="992"/>
      <w:bookmarkEnd w:id="993"/>
      <w:bookmarkEnd w:id="994"/>
      <w:bookmarkEnd w:id="995"/>
      <w:r>
        <w:rPr>
          <w:rFonts w:hint="eastAsia" w:ascii="宋体" w:hAnsi="宋体" w:cs="宋体"/>
          <w:color w:val="auto"/>
          <w:szCs w:val="21"/>
          <w:highlight w:val="none"/>
          <w:lang w:bidi="ar"/>
        </w:rPr>
        <w:t xml:space="preserve"> </w:t>
      </w:r>
    </w:p>
    <w:p w14:paraId="1DEA7CCD">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96" w:name="_Ref4423563"/>
      <w:bookmarkEnd w:id="996"/>
      <w:r>
        <w:rPr>
          <w:rFonts w:hint="eastAsia" w:ascii="宋体" w:hAnsi="宋体" w:cs="宋体"/>
          <w:color w:val="auto"/>
          <w:szCs w:val="21"/>
          <w:highlight w:val="none"/>
          <w:lang w:bidi="ar"/>
        </w:rPr>
        <w:t>1.10.1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p>
    <w:p w14:paraId="2C824ED4">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97" w:name="_Ref4423604"/>
      <w:bookmarkEnd w:id="997"/>
      <w:r>
        <w:rPr>
          <w:rFonts w:hint="eastAsia" w:ascii="宋体" w:hAnsi="宋体" w:cs="宋体"/>
          <w:color w:val="auto"/>
          <w:szCs w:val="21"/>
          <w:highlight w:val="none"/>
          <w:lang w:bidi="ar"/>
        </w:rPr>
        <w:t>1.10.2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14:paraId="187BFD34">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1.10.3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0756C257">
      <w:pPr>
        <w:widowControl/>
        <w:adjustRightInd w:val="0"/>
        <w:snapToGrid w:val="0"/>
        <w:spacing w:after="163" w:afterLines="50" w:line="360" w:lineRule="auto"/>
        <w:ind w:firstLine="420" w:firstLineChars="200"/>
        <w:outlineLvl w:val="3"/>
        <w:rPr>
          <w:rFonts w:ascii="宋体" w:hAnsi="宋体" w:cs="宋体"/>
          <w:color w:val="auto"/>
          <w:highlight w:val="none"/>
        </w:rPr>
      </w:pPr>
      <w:bookmarkStart w:id="998" w:name="_Ref4423695"/>
      <w:bookmarkEnd w:id="998"/>
      <w:r>
        <w:rPr>
          <w:rFonts w:hint="eastAsia" w:ascii="宋体" w:hAnsi="宋体" w:cs="宋体"/>
          <w:color w:val="auto"/>
          <w:szCs w:val="21"/>
          <w:highlight w:val="none"/>
          <w:lang w:bidi="ar"/>
        </w:rPr>
        <w:t>1.10.4除专用合同条件另有约定外，承包人在比选申请文件中采用的专利、专有技术、商业软件、技术秘密的使用费已包含在签约合同价中。</w:t>
      </w:r>
    </w:p>
    <w:p w14:paraId="039450A6">
      <w:pPr>
        <w:widowControl/>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1.10.5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3CCBFD7C">
      <w:pPr>
        <w:widowControl/>
        <w:wordWrap w:val="0"/>
        <w:topLinePunct/>
        <w:adjustRightInd w:val="0"/>
        <w:snapToGrid w:val="0"/>
        <w:spacing w:after="163" w:afterLines="50" w:line="360" w:lineRule="auto"/>
        <w:outlineLvl w:val="2"/>
        <w:rPr>
          <w:rFonts w:ascii="宋体" w:hAnsi="宋体" w:cs="宋体"/>
          <w:color w:val="auto"/>
          <w:highlight w:val="none"/>
        </w:rPr>
      </w:pPr>
      <w:bookmarkStart w:id="999" w:name="_Ref4423898"/>
      <w:bookmarkEnd w:id="999"/>
      <w:bookmarkStart w:id="1000" w:name="_Ref4423873"/>
      <w:bookmarkEnd w:id="1000"/>
      <w:bookmarkStart w:id="1001" w:name="_Toc20171733"/>
      <w:bookmarkStart w:id="1002" w:name="_Toc51766581"/>
      <w:bookmarkStart w:id="1003" w:name="_Toc236"/>
      <w:bookmarkStart w:id="1004" w:name="_Toc170932449"/>
      <w:bookmarkStart w:id="1005" w:name="_Toc24212"/>
      <w:bookmarkStart w:id="1006" w:name="_Toc20020"/>
      <w:bookmarkStart w:id="1007" w:name="_Toc84930718"/>
      <w:bookmarkStart w:id="1008" w:name="_Toc6051"/>
      <w:bookmarkStart w:id="1009" w:name="_Toc58860168"/>
      <w:r>
        <w:rPr>
          <w:rFonts w:hint="eastAsia" w:ascii="宋体" w:hAnsi="宋体" w:cs="宋体"/>
          <w:color w:val="auto"/>
          <w:szCs w:val="21"/>
          <w:highlight w:val="none"/>
          <w:lang w:bidi="ar"/>
        </w:rPr>
        <w:t xml:space="preserve">1.11  </w:t>
      </w:r>
      <w:bookmarkEnd w:id="1001"/>
      <w:r>
        <w:rPr>
          <w:rFonts w:hint="eastAsia" w:ascii="宋体" w:hAnsi="宋体" w:cs="宋体"/>
          <w:color w:val="auto"/>
          <w:szCs w:val="21"/>
          <w:highlight w:val="none"/>
          <w:lang w:bidi="ar"/>
        </w:rPr>
        <w:t>保密</w:t>
      </w:r>
      <w:bookmarkEnd w:id="1002"/>
      <w:bookmarkEnd w:id="1003"/>
      <w:bookmarkEnd w:id="1004"/>
      <w:bookmarkEnd w:id="1005"/>
      <w:bookmarkEnd w:id="1006"/>
      <w:bookmarkEnd w:id="1007"/>
      <w:bookmarkEnd w:id="1008"/>
      <w:bookmarkEnd w:id="1009"/>
    </w:p>
    <w:p w14:paraId="1075E40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合同当事人一方对在订立和履行合同过程中知悉的另一方的商业秘密、技术秘密，以及任何一方明确要求保密的其它信息，负有保密责任。</w:t>
      </w:r>
    </w:p>
    <w:p w14:paraId="23485CB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除法律规定或合同另有约定外，未经对方同意，任何一方当事人不得将对方提供的文件、技术秘密以及声明需要保密的资料信息等商业秘密泄露给第三方或者用于本合同以外的目的。</w:t>
      </w:r>
    </w:p>
    <w:p w14:paraId="1509912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563A5C6C">
      <w:pPr>
        <w:widowControl/>
        <w:wordWrap w:val="0"/>
        <w:topLinePunct/>
        <w:adjustRightInd w:val="0"/>
        <w:snapToGrid w:val="0"/>
        <w:spacing w:after="163" w:afterLines="50" w:line="360" w:lineRule="auto"/>
        <w:outlineLvl w:val="2"/>
        <w:rPr>
          <w:rFonts w:ascii="宋体" w:hAnsi="宋体" w:cs="宋体"/>
          <w:color w:val="auto"/>
          <w:highlight w:val="none"/>
        </w:rPr>
      </w:pPr>
      <w:bookmarkStart w:id="1010" w:name="_Ref532336812"/>
      <w:bookmarkEnd w:id="1010"/>
      <w:bookmarkStart w:id="1011" w:name="_Toc20171734"/>
      <w:bookmarkStart w:id="1012" w:name="_Toc25330"/>
      <w:bookmarkStart w:id="1013" w:name="_Toc58860169"/>
      <w:bookmarkStart w:id="1014" w:name="_Toc31921"/>
      <w:bookmarkStart w:id="1015" w:name="_Toc2004"/>
      <w:bookmarkStart w:id="1016" w:name="_Toc170932450"/>
      <w:bookmarkStart w:id="1017" w:name="_Toc51766582"/>
      <w:bookmarkStart w:id="1018" w:name="_Toc31924"/>
      <w:bookmarkStart w:id="1019" w:name="_Toc84930719"/>
      <w:r>
        <w:rPr>
          <w:rFonts w:hint="eastAsia" w:ascii="宋体" w:hAnsi="宋体" w:cs="宋体"/>
          <w:color w:val="auto"/>
          <w:szCs w:val="21"/>
          <w:highlight w:val="none"/>
          <w:lang w:bidi="ar"/>
        </w:rPr>
        <w:t>1</w:t>
      </w:r>
      <w:bookmarkEnd w:id="1011"/>
      <w:r>
        <w:rPr>
          <w:rFonts w:hint="eastAsia" w:ascii="宋体" w:hAnsi="宋体" w:cs="宋体"/>
          <w:color w:val="auto"/>
          <w:szCs w:val="21"/>
          <w:highlight w:val="none"/>
          <w:lang w:bidi="ar"/>
        </w:rPr>
        <w:t>.12  《发包人要求》和基础资料中的错误</w:t>
      </w:r>
      <w:bookmarkEnd w:id="1012"/>
      <w:bookmarkEnd w:id="1013"/>
      <w:bookmarkEnd w:id="1014"/>
      <w:bookmarkEnd w:id="1015"/>
      <w:bookmarkEnd w:id="1016"/>
      <w:bookmarkEnd w:id="1017"/>
      <w:bookmarkEnd w:id="1018"/>
      <w:bookmarkEnd w:id="1019"/>
    </w:p>
    <w:p w14:paraId="5374314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承包人应尽早认真阅读、复核《发包人要求》以及其提供的基础资料，发现错误的，应及时书面通知发包人补正。发包人作相应修改的，按照第13条[变更与调整]的约定处理。</w:t>
      </w:r>
    </w:p>
    <w:p w14:paraId="2BA6669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《发包人要求》或其提供的基础资料中的错误导致承包人增加费用和（或）工期延误的，发包人应承担由此增加的费用和（或）工期延误。</w:t>
      </w:r>
    </w:p>
    <w:p w14:paraId="38317BE4">
      <w:pPr>
        <w:widowControl/>
        <w:wordWrap w:val="0"/>
        <w:topLinePunct/>
        <w:adjustRightInd w:val="0"/>
        <w:snapToGrid w:val="0"/>
        <w:spacing w:after="163" w:afterLines="50" w:line="360" w:lineRule="auto"/>
        <w:outlineLvl w:val="2"/>
        <w:rPr>
          <w:rFonts w:ascii="宋体" w:hAnsi="宋体" w:cs="宋体"/>
          <w:color w:val="auto"/>
          <w:highlight w:val="none"/>
        </w:rPr>
      </w:pPr>
      <w:bookmarkStart w:id="1020" w:name="_Toc20171735"/>
      <w:bookmarkEnd w:id="1020"/>
      <w:bookmarkStart w:id="1021" w:name="_Ref531949937"/>
      <w:bookmarkEnd w:id="1021"/>
      <w:bookmarkStart w:id="1022" w:name="_Ref531949933"/>
      <w:bookmarkStart w:id="1023" w:name="_Toc58860170"/>
      <w:bookmarkStart w:id="1024" w:name="_Toc84930720"/>
      <w:bookmarkStart w:id="1025" w:name="_Toc4532"/>
      <w:bookmarkStart w:id="1026" w:name="_Toc23034"/>
      <w:bookmarkStart w:id="1027" w:name="_Toc6982"/>
      <w:bookmarkStart w:id="1028" w:name="_Toc8565"/>
      <w:bookmarkStart w:id="1029" w:name="_Toc170932451"/>
      <w:bookmarkStart w:id="1030" w:name="_Toc51766583"/>
      <w:r>
        <w:rPr>
          <w:rFonts w:hint="eastAsia" w:ascii="宋体" w:hAnsi="宋体" w:cs="宋体"/>
          <w:color w:val="auto"/>
          <w:szCs w:val="21"/>
          <w:highlight w:val="none"/>
          <w:lang w:bidi="ar"/>
        </w:rPr>
        <w:t>1</w:t>
      </w:r>
      <w:bookmarkEnd w:id="1022"/>
      <w:r>
        <w:rPr>
          <w:rFonts w:hint="eastAsia" w:ascii="宋体" w:hAnsi="宋体" w:cs="宋体"/>
          <w:color w:val="auto"/>
          <w:szCs w:val="21"/>
          <w:highlight w:val="none"/>
          <w:lang w:bidi="ar"/>
        </w:rPr>
        <w:t>.13  责任限制</w:t>
      </w:r>
      <w:bookmarkEnd w:id="1023"/>
      <w:bookmarkEnd w:id="1024"/>
      <w:bookmarkEnd w:id="1025"/>
      <w:bookmarkEnd w:id="1026"/>
      <w:bookmarkEnd w:id="1027"/>
      <w:bookmarkEnd w:id="1028"/>
      <w:bookmarkEnd w:id="1029"/>
      <w:bookmarkEnd w:id="1030"/>
    </w:p>
    <w:p w14:paraId="2D5B5D5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0131009E">
      <w:pPr>
        <w:widowControl/>
        <w:wordWrap w:val="0"/>
        <w:topLinePunct/>
        <w:adjustRightInd w:val="0"/>
        <w:snapToGrid w:val="0"/>
        <w:spacing w:after="163" w:afterLines="50" w:line="360" w:lineRule="auto"/>
        <w:outlineLvl w:val="2"/>
        <w:rPr>
          <w:rFonts w:ascii="宋体" w:hAnsi="宋体" w:cs="宋体"/>
          <w:color w:val="auto"/>
          <w:highlight w:val="none"/>
        </w:rPr>
      </w:pPr>
      <w:bookmarkStart w:id="1031" w:name="_Toc51766584"/>
      <w:bookmarkStart w:id="1032" w:name="_Toc84930721"/>
      <w:bookmarkStart w:id="1033" w:name="_Toc19848"/>
      <w:bookmarkStart w:id="1034" w:name="_Toc170932452"/>
      <w:bookmarkStart w:id="1035" w:name="_Toc8652"/>
      <w:bookmarkStart w:id="1036" w:name="_Toc25550"/>
      <w:bookmarkStart w:id="1037" w:name="_Toc58860171"/>
      <w:bookmarkStart w:id="1038" w:name="_Toc31133"/>
      <w:r>
        <w:rPr>
          <w:rFonts w:hint="eastAsia" w:ascii="宋体" w:hAnsi="宋体" w:cs="宋体"/>
          <w:color w:val="auto"/>
          <w:szCs w:val="21"/>
          <w:highlight w:val="none"/>
          <w:lang w:bidi="ar"/>
        </w:rPr>
        <w:t>1.14  建筑信息模型技术的应用</w:t>
      </w:r>
      <w:bookmarkEnd w:id="1031"/>
      <w:bookmarkEnd w:id="1032"/>
      <w:bookmarkEnd w:id="1033"/>
      <w:bookmarkEnd w:id="1034"/>
      <w:bookmarkEnd w:id="1035"/>
      <w:bookmarkEnd w:id="1036"/>
      <w:bookmarkEnd w:id="1037"/>
      <w:bookmarkEnd w:id="1038"/>
    </w:p>
    <w:p w14:paraId="58E2CB53">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349013C3">
      <w:pPr>
        <w:widowControl/>
        <w:adjustRightInd w:val="0"/>
        <w:snapToGrid w:val="0"/>
        <w:spacing w:after="163" w:afterLines="50" w:line="360" w:lineRule="auto"/>
        <w:outlineLvl w:val="1"/>
        <w:rPr>
          <w:rFonts w:ascii="宋体" w:hAnsi="宋体" w:cs="宋体"/>
          <w:color w:val="auto"/>
          <w:kern w:val="0"/>
          <w:highlight w:val="none"/>
        </w:rPr>
      </w:pPr>
      <w:bookmarkStart w:id="1039" w:name="_Toc20171736"/>
      <w:bookmarkEnd w:id="1039"/>
      <w:bookmarkStart w:id="1040" w:name="_Ref4796511"/>
      <w:bookmarkStart w:id="1041" w:name="_Toc170932453"/>
      <w:bookmarkStart w:id="1042" w:name="_Toc12729"/>
      <w:r>
        <w:rPr>
          <w:rFonts w:hint="eastAsia" w:ascii="宋体" w:hAnsi="宋体" w:cs="宋体"/>
          <w:color w:val="auto"/>
          <w:kern w:val="0"/>
          <w:szCs w:val="21"/>
          <w:highlight w:val="none"/>
          <w:lang w:bidi="ar"/>
        </w:rPr>
        <w:t xml:space="preserve">第2条 </w:t>
      </w:r>
      <w:bookmarkEnd w:id="1040"/>
      <w:r>
        <w:rPr>
          <w:rFonts w:hint="eastAsia" w:ascii="宋体" w:hAnsi="宋体" w:cs="宋体"/>
          <w:color w:val="auto"/>
          <w:kern w:val="0"/>
          <w:szCs w:val="21"/>
          <w:highlight w:val="none"/>
          <w:lang w:bidi="ar"/>
        </w:rPr>
        <w:t xml:space="preserve"> 发包人</w:t>
      </w:r>
      <w:bookmarkEnd w:id="1041"/>
      <w:bookmarkEnd w:id="1042"/>
      <w:bookmarkStart w:id="1043" w:name="_Toc20171737"/>
      <w:bookmarkEnd w:id="1043"/>
    </w:p>
    <w:p w14:paraId="3C56C251">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044" w:name="_Toc51766586"/>
      <w:bookmarkStart w:id="1045" w:name="_Toc84930723"/>
      <w:bookmarkStart w:id="1046" w:name="_Toc32045"/>
      <w:bookmarkStart w:id="1047" w:name="_Toc19402"/>
      <w:bookmarkStart w:id="1048" w:name="_Toc170932454"/>
      <w:bookmarkStart w:id="1049" w:name="_Toc19418"/>
      <w:bookmarkStart w:id="1050" w:name="_Toc3169"/>
      <w:bookmarkStart w:id="1051" w:name="_Toc58860173"/>
      <w:r>
        <w:rPr>
          <w:rFonts w:hint="eastAsia" w:ascii="宋体" w:hAnsi="宋体" w:cs="宋体"/>
          <w:color w:val="auto"/>
          <w:kern w:val="0"/>
          <w:szCs w:val="21"/>
          <w:highlight w:val="none"/>
          <w:lang w:bidi="ar"/>
        </w:rPr>
        <w:t>2.1  遵守法律</w:t>
      </w:r>
      <w:bookmarkEnd w:id="1044"/>
      <w:bookmarkEnd w:id="1045"/>
      <w:bookmarkEnd w:id="1046"/>
      <w:bookmarkEnd w:id="1047"/>
      <w:bookmarkEnd w:id="1048"/>
      <w:bookmarkEnd w:id="1049"/>
      <w:bookmarkEnd w:id="1050"/>
      <w:bookmarkEnd w:id="1051"/>
    </w:p>
    <w:p w14:paraId="1792780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40637DC7">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052" w:name="_Toc20171738"/>
      <w:bookmarkEnd w:id="1052"/>
      <w:bookmarkStart w:id="1053" w:name="_Ref11917977"/>
      <w:bookmarkEnd w:id="1053"/>
      <w:bookmarkStart w:id="1054" w:name="_Ref11917995"/>
      <w:bookmarkStart w:id="1055" w:name="_Toc51766587"/>
      <w:bookmarkStart w:id="1056" w:name="_Toc170932455"/>
      <w:bookmarkStart w:id="1057" w:name="_Toc22419"/>
      <w:bookmarkStart w:id="1058" w:name="_Toc27014"/>
      <w:bookmarkStart w:id="1059" w:name="_Toc8155"/>
      <w:bookmarkStart w:id="1060" w:name="_Toc84930724"/>
      <w:bookmarkStart w:id="1061" w:name="_Toc58860174"/>
      <w:r>
        <w:rPr>
          <w:rFonts w:hint="eastAsia" w:ascii="宋体" w:hAnsi="宋体" w:cs="宋体"/>
          <w:color w:val="auto"/>
          <w:kern w:val="0"/>
          <w:szCs w:val="21"/>
          <w:highlight w:val="none"/>
          <w:lang w:bidi="ar"/>
        </w:rPr>
        <w:t>2</w:t>
      </w:r>
      <w:bookmarkEnd w:id="1054"/>
      <w:r>
        <w:rPr>
          <w:rFonts w:hint="eastAsia" w:ascii="宋体" w:hAnsi="宋体" w:cs="宋体"/>
          <w:color w:val="auto"/>
          <w:kern w:val="0"/>
          <w:szCs w:val="21"/>
          <w:highlight w:val="none"/>
          <w:lang w:bidi="ar"/>
        </w:rPr>
        <w:t>.2  提供施工现场和工作条件</w:t>
      </w:r>
      <w:bookmarkEnd w:id="1055"/>
      <w:bookmarkEnd w:id="1056"/>
      <w:bookmarkEnd w:id="1057"/>
      <w:bookmarkEnd w:id="1058"/>
      <w:bookmarkEnd w:id="1059"/>
      <w:bookmarkEnd w:id="1060"/>
      <w:bookmarkEnd w:id="1061"/>
    </w:p>
    <w:p w14:paraId="6EFFE35F">
      <w:pPr>
        <w:widowControl/>
        <w:numPr>
          <w:ilvl w:val="0"/>
          <w:numId w:val="3"/>
        </w:numPr>
        <w:wordWrap w:val="0"/>
        <w:topLinePunct/>
        <w:adjustRightInd w:val="0"/>
        <w:snapToGrid w:val="0"/>
        <w:spacing w:after="163" w:afterLines="50" w:line="360" w:lineRule="auto"/>
        <w:ind w:firstLine="422" w:firstLineChars="200"/>
        <w:outlineLvl w:val="2"/>
        <w:rPr>
          <w:rFonts w:ascii="宋体" w:hAnsi="宋体" w:cs="宋体"/>
          <w:b/>
          <w:vanish/>
          <w:color w:val="auto"/>
          <w:highlight w:val="none"/>
        </w:rPr>
      </w:pPr>
      <w:bookmarkStart w:id="1062" w:name="_Toc169510980"/>
      <w:bookmarkEnd w:id="1062"/>
      <w:bookmarkStart w:id="1063" w:name="_Toc84930725"/>
      <w:bookmarkEnd w:id="1063"/>
      <w:bookmarkStart w:id="1064" w:name="_Toc170932456"/>
      <w:bookmarkEnd w:id="1064"/>
      <w:bookmarkStart w:id="1065" w:name="_Toc2583"/>
      <w:bookmarkEnd w:id="1065"/>
      <w:bookmarkStart w:id="1066" w:name="_Toc51766588"/>
      <w:bookmarkEnd w:id="1066"/>
      <w:bookmarkStart w:id="1067" w:name="_Toc58860175"/>
      <w:bookmarkEnd w:id="1067"/>
      <w:bookmarkStart w:id="1068" w:name="_Toc169533601"/>
      <w:bookmarkEnd w:id="1068"/>
      <w:bookmarkStart w:id="1069" w:name="_Toc11090"/>
      <w:bookmarkEnd w:id="1069"/>
      <w:bookmarkStart w:id="1070" w:name="_Ref531950085"/>
      <w:bookmarkEnd w:id="1070"/>
    </w:p>
    <w:p w14:paraId="54495E69">
      <w:pPr>
        <w:widowControl/>
        <w:numPr>
          <w:ilvl w:val="1"/>
          <w:numId w:val="3"/>
        </w:numPr>
        <w:wordWrap w:val="0"/>
        <w:topLinePunct/>
        <w:adjustRightInd w:val="0"/>
        <w:snapToGrid w:val="0"/>
        <w:spacing w:after="163" w:afterLines="50" w:line="360" w:lineRule="auto"/>
        <w:ind w:firstLine="422" w:firstLineChars="200"/>
        <w:outlineLvl w:val="2"/>
        <w:rPr>
          <w:rFonts w:ascii="宋体" w:hAnsi="宋体" w:cs="宋体"/>
          <w:b/>
          <w:vanish/>
          <w:color w:val="auto"/>
          <w:highlight w:val="none"/>
        </w:rPr>
      </w:pPr>
      <w:bookmarkStart w:id="1071" w:name="_Toc169533602"/>
      <w:bookmarkEnd w:id="1071"/>
      <w:bookmarkStart w:id="1072" w:name="_Toc21955"/>
      <w:bookmarkEnd w:id="1072"/>
      <w:bookmarkStart w:id="1073" w:name="_Toc84930726"/>
      <w:bookmarkEnd w:id="1073"/>
      <w:bookmarkStart w:id="1074" w:name="_Toc51766589"/>
      <w:bookmarkEnd w:id="1074"/>
      <w:bookmarkStart w:id="1075" w:name="_Toc28319"/>
      <w:bookmarkEnd w:id="1075"/>
      <w:bookmarkStart w:id="1076" w:name="_Toc170932457"/>
      <w:bookmarkEnd w:id="1076"/>
      <w:bookmarkStart w:id="1077" w:name="_Toc58860176"/>
      <w:bookmarkEnd w:id="1077"/>
      <w:bookmarkStart w:id="1078" w:name="_Toc169510981"/>
      <w:bookmarkEnd w:id="1078"/>
    </w:p>
    <w:p w14:paraId="212D325D">
      <w:pPr>
        <w:widowControl/>
        <w:numPr>
          <w:ilvl w:val="1"/>
          <w:numId w:val="3"/>
        </w:numPr>
        <w:wordWrap w:val="0"/>
        <w:topLinePunct/>
        <w:adjustRightInd w:val="0"/>
        <w:snapToGrid w:val="0"/>
        <w:spacing w:after="163" w:afterLines="50" w:line="360" w:lineRule="auto"/>
        <w:ind w:firstLine="422" w:firstLineChars="200"/>
        <w:outlineLvl w:val="2"/>
        <w:rPr>
          <w:rFonts w:ascii="宋体" w:hAnsi="宋体" w:cs="宋体"/>
          <w:b/>
          <w:vanish/>
          <w:color w:val="auto"/>
          <w:highlight w:val="none"/>
        </w:rPr>
      </w:pPr>
      <w:bookmarkStart w:id="1079" w:name="_Toc169533603"/>
      <w:bookmarkEnd w:id="1079"/>
      <w:bookmarkStart w:id="1080" w:name="_Toc21587"/>
      <w:bookmarkEnd w:id="1080"/>
      <w:bookmarkStart w:id="1081" w:name="_Toc18733"/>
      <w:bookmarkEnd w:id="1081"/>
      <w:bookmarkStart w:id="1082" w:name="_Toc58860177"/>
      <w:bookmarkEnd w:id="1082"/>
      <w:bookmarkStart w:id="1083" w:name="_Toc169510982"/>
      <w:bookmarkEnd w:id="1083"/>
      <w:bookmarkStart w:id="1084" w:name="_Toc84930727"/>
      <w:bookmarkEnd w:id="1084"/>
      <w:bookmarkStart w:id="1085" w:name="_Toc170932458"/>
      <w:bookmarkEnd w:id="1085"/>
      <w:bookmarkStart w:id="1086" w:name="_Toc51766590"/>
      <w:bookmarkEnd w:id="1086"/>
    </w:p>
    <w:p w14:paraId="08AF0F67">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2.2.1提供施工现场</w:t>
      </w:r>
    </w:p>
    <w:p w14:paraId="017AB20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4EAE3D55">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087" w:name="_Ref531950101"/>
      <w:bookmarkEnd w:id="1087"/>
      <w:r>
        <w:rPr>
          <w:rFonts w:hint="eastAsia" w:ascii="宋体" w:hAnsi="宋体" w:cs="宋体"/>
          <w:color w:val="auto"/>
          <w:szCs w:val="21"/>
          <w:highlight w:val="none"/>
          <w:lang w:bidi="ar"/>
        </w:rPr>
        <w:t>2.2.2提供工作条件</w:t>
      </w:r>
    </w:p>
    <w:p w14:paraId="2807D6A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发包人应按专用合同条件约定向承包人提供工作条件。专用合同条件对此没有约定的，发包人应负责提供开展本合同相关工作所需要的条件，包括：</w:t>
      </w:r>
    </w:p>
    <w:p w14:paraId="6EF4DD0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（1）将施工用水、电力、通讯线路等施工所必需的条件接至施工现场内；</w:t>
      </w:r>
    </w:p>
    <w:p w14:paraId="34F32CE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（2）保证向承包人提供正常施工所需要的进入施工现场的交通条件；</w:t>
      </w:r>
    </w:p>
    <w:p w14:paraId="69819D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（3）协调处理施工现场周围地下管线和邻近建筑物、构筑物、古树名木、文物、化石及坟墓等的保护工作，并承担相关费用；</w:t>
      </w:r>
    </w:p>
    <w:p w14:paraId="7933120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6B733C2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（5）按照专用合同条件约定应提供的其他设施和条件。</w:t>
      </w:r>
    </w:p>
    <w:p w14:paraId="7FB3352F">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2.2.3逾期提供的责任</w:t>
      </w:r>
    </w:p>
    <w:p w14:paraId="091BCB3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因发包人原因未能按合同约定及时向承包人提供施工现场和施工条件的，由发包人承担由此增加的费用和（或）延误的工期。</w:t>
      </w:r>
    </w:p>
    <w:p w14:paraId="78FC90C8">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088" w:name="_Toc20171739"/>
      <w:bookmarkEnd w:id="1088"/>
      <w:bookmarkStart w:id="1089" w:name="_Ref11918036"/>
      <w:bookmarkEnd w:id="1089"/>
      <w:bookmarkStart w:id="1090" w:name="_Ref11956654"/>
      <w:bookmarkEnd w:id="1090"/>
      <w:bookmarkStart w:id="1091" w:name="_Ref11956647"/>
      <w:bookmarkEnd w:id="1091"/>
      <w:bookmarkStart w:id="1092" w:name="_Ref11918025"/>
      <w:bookmarkStart w:id="1093" w:name="_Toc84930728"/>
      <w:bookmarkStart w:id="1094" w:name="_Toc51766591"/>
      <w:bookmarkStart w:id="1095" w:name="_Toc22653"/>
      <w:bookmarkStart w:id="1096" w:name="_Toc21035"/>
      <w:bookmarkStart w:id="1097" w:name="_Toc58860178"/>
      <w:bookmarkStart w:id="1098" w:name="_Toc170932459"/>
      <w:bookmarkStart w:id="1099" w:name="_Toc29192"/>
      <w:bookmarkStart w:id="1100" w:name="_Toc8858"/>
      <w:r>
        <w:rPr>
          <w:rFonts w:hint="eastAsia" w:ascii="宋体" w:hAnsi="宋体" w:cs="宋体"/>
          <w:color w:val="auto"/>
          <w:kern w:val="0"/>
          <w:szCs w:val="21"/>
          <w:highlight w:val="none"/>
          <w:lang w:bidi="ar"/>
        </w:rPr>
        <w:t>2</w:t>
      </w:r>
      <w:bookmarkEnd w:id="1092"/>
      <w:r>
        <w:rPr>
          <w:rFonts w:hint="eastAsia" w:ascii="宋体" w:hAnsi="宋体" w:cs="宋体"/>
          <w:color w:val="auto"/>
          <w:kern w:val="0"/>
          <w:szCs w:val="21"/>
          <w:highlight w:val="none"/>
          <w:lang w:bidi="ar"/>
        </w:rPr>
        <w:t>.3  提供基础资料</w:t>
      </w:r>
      <w:bookmarkEnd w:id="1093"/>
      <w:bookmarkEnd w:id="1094"/>
      <w:bookmarkEnd w:id="1095"/>
      <w:bookmarkEnd w:id="1096"/>
      <w:bookmarkEnd w:id="1097"/>
      <w:bookmarkEnd w:id="1098"/>
      <w:bookmarkEnd w:id="1099"/>
      <w:bookmarkEnd w:id="1100"/>
    </w:p>
    <w:p w14:paraId="4A8034A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4E9D27BB">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101" w:name="_Toc20171740"/>
      <w:bookmarkEnd w:id="1101"/>
      <w:bookmarkStart w:id="1102" w:name="_Ref531950045"/>
      <w:bookmarkEnd w:id="1102"/>
      <w:bookmarkStart w:id="1103" w:name="_Ref531950041"/>
      <w:bookmarkStart w:id="1104" w:name="_Toc21118"/>
      <w:bookmarkStart w:id="1105" w:name="_Toc170932460"/>
      <w:bookmarkStart w:id="1106" w:name="_Toc58860179"/>
      <w:bookmarkStart w:id="1107" w:name="_Toc84930729"/>
      <w:bookmarkStart w:id="1108" w:name="_Toc51766592"/>
      <w:bookmarkStart w:id="1109" w:name="_Toc734"/>
      <w:bookmarkStart w:id="1110" w:name="_Toc26446"/>
      <w:bookmarkStart w:id="1111" w:name="_Toc5242"/>
      <w:r>
        <w:rPr>
          <w:rFonts w:hint="eastAsia" w:ascii="宋体" w:hAnsi="宋体" w:cs="宋体"/>
          <w:color w:val="auto"/>
          <w:kern w:val="0"/>
          <w:szCs w:val="21"/>
          <w:highlight w:val="none"/>
          <w:lang w:bidi="ar"/>
        </w:rPr>
        <w:t>2</w:t>
      </w:r>
      <w:bookmarkEnd w:id="1103"/>
      <w:r>
        <w:rPr>
          <w:rFonts w:hint="eastAsia" w:ascii="宋体" w:hAnsi="宋体" w:cs="宋体"/>
          <w:color w:val="auto"/>
          <w:kern w:val="0"/>
          <w:szCs w:val="21"/>
          <w:highlight w:val="none"/>
          <w:lang w:bidi="ar"/>
        </w:rPr>
        <w:t>.4  办理许可和批准</w:t>
      </w:r>
      <w:bookmarkEnd w:id="1104"/>
      <w:bookmarkEnd w:id="1105"/>
      <w:bookmarkEnd w:id="1106"/>
      <w:bookmarkEnd w:id="1107"/>
      <w:bookmarkEnd w:id="1108"/>
      <w:bookmarkEnd w:id="1109"/>
      <w:bookmarkEnd w:id="1110"/>
      <w:bookmarkEnd w:id="1111"/>
    </w:p>
    <w:p w14:paraId="66B63949">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2.4.1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14:paraId="4A2FB48A">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2.4.2因发包人原因未能及时办理完毕前述许可、批准或备案，由发包人承担由此增加的费用和（或）延误的工期，并支付承包人合理的利润。</w:t>
      </w:r>
    </w:p>
    <w:p w14:paraId="651CCA8F">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112" w:name="_Ref11918060"/>
      <w:bookmarkEnd w:id="1112"/>
      <w:bookmarkStart w:id="1113" w:name="_Ref11956525"/>
      <w:bookmarkEnd w:id="1113"/>
      <w:bookmarkStart w:id="1114" w:name="_Toc20171741"/>
      <w:bookmarkEnd w:id="1114"/>
      <w:bookmarkStart w:id="1115" w:name="_Ref11918070"/>
      <w:bookmarkEnd w:id="1115"/>
      <w:bookmarkStart w:id="1116" w:name="_Toc84930730"/>
      <w:bookmarkStart w:id="1117" w:name="_Toc58860180"/>
      <w:bookmarkStart w:id="1118" w:name="_Toc9340"/>
      <w:bookmarkStart w:id="1119" w:name="_Toc11186"/>
      <w:bookmarkStart w:id="1120" w:name="_Toc51766593"/>
      <w:bookmarkStart w:id="1121" w:name="_Toc170932461"/>
      <w:bookmarkStart w:id="1122" w:name="_Ref11956533"/>
      <w:bookmarkStart w:id="1123" w:name="_Toc30604"/>
      <w:bookmarkStart w:id="1124" w:name="_Toc28834"/>
      <w:r>
        <w:rPr>
          <w:rFonts w:hint="eastAsia" w:ascii="宋体" w:hAnsi="宋体" w:cs="宋体"/>
          <w:color w:val="auto"/>
          <w:kern w:val="0"/>
          <w:szCs w:val="21"/>
          <w:highlight w:val="none"/>
          <w:lang w:bidi="ar"/>
        </w:rPr>
        <w:t>2.5  支付合同价款</w:t>
      </w:r>
      <w:bookmarkEnd w:id="1116"/>
      <w:bookmarkEnd w:id="1117"/>
      <w:bookmarkEnd w:id="1118"/>
      <w:bookmarkEnd w:id="1119"/>
      <w:bookmarkEnd w:id="1120"/>
      <w:bookmarkEnd w:id="1121"/>
      <w:bookmarkEnd w:id="1122"/>
      <w:bookmarkEnd w:id="1123"/>
      <w:bookmarkEnd w:id="1124"/>
    </w:p>
    <w:p w14:paraId="6DFBB3FA">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125" w:name="_Ref531950147"/>
      <w:bookmarkEnd w:id="1125"/>
      <w:r>
        <w:rPr>
          <w:rFonts w:hint="eastAsia" w:ascii="宋体" w:hAnsi="宋体" w:cs="宋体"/>
          <w:color w:val="auto"/>
          <w:szCs w:val="21"/>
          <w:highlight w:val="none"/>
          <w:lang w:bidi="ar"/>
        </w:rPr>
        <w:t>2.5.1发包人应按合同约定向承包人及时支付合同价款。</w:t>
      </w:r>
    </w:p>
    <w:p w14:paraId="7FAF0041">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2.5.2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p>
    <w:p w14:paraId="29C3F551">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126" w:name="_Ref531950161"/>
      <w:bookmarkEnd w:id="1126"/>
      <w:r>
        <w:rPr>
          <w:rFonts w:hint="eastAsia" w:ascii="宋体" w:hAnsi="宋体" w:cs="宋体"/>
          <w:color w:val="auto"/>
          <w:szCs w:val="21"/>
          <w:highlight w:val="none"/>
          <w:lang w:bidi="ar"/>
        </w:rPr>
        <w:t>2.5.3发包人应当向承包人提供支付担保。支付担保可以采用银行保函或担保公司担保等形式，具体由合同当事人在专用合同条件中约定。</w:t>
      </w:r>
    </w:p>
    <w:p w14:paraId="5B1FC2CA">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127" w:name="_Toc20171742"/>
      <w:bookmarkEnd w:id="1127"/>
      <w:bookmarkStart w:id="1128" w:name="_Toc84930731"/>
      <w:bookmarkStart w:id="1129" w:name="_Toc170932462"/>
      <w:bookmarkStart w:id="1130" w:name="_Toc51766594"/>
      <w:bookmarkStart w:id="1131" w:name="_Toc30704"/>
      <w:bookmarkStart w:id="1132" w:name="_Toc58860181"/>
      <w:bookmarkStart w:id="1133" w:name="_Toc21197"/>
      <w:bookmarkStart w:id="1134" w:name="_Toc2484"/>
      <w:bookmarkStart w:id="1135" w:name="_Toc19952"/>
      <w:r>
        <w:rPr>
          <w:rFonts w:hint="eastAsia" w:ascii="宋体" w:hAnsi="宋体" w:cs="宋体"/>
          <w:color w:val="auto"/>
          <w:kern w:val="0"/>
          <w:szCs w:val="21"/>
          <w:highlight w:val="none"/>
          <w:lang w:bidi="ar"/>
        </w:rPr>
        <w:t>2.6  现场管理配合</w:t>
      </w:r>
      <w:bookmarkEnd w:id="1128"/>
      <w:bookmarkEnd w:id="1129"/>
      <w:bookmarkEnd w:id="1130"/>
      <w:bookmarkEnd w:id="1131"/>
      <w:bookmarkEnd w:id="1132"/>
      <w:bookmarkEnd w:id="1133"/>
      <w:bookmarkEnd w:id="1134"/>
      <w:bookmarkEnd w:id="1135"/>
    </w:p>
    <w:p w14:paraId="0A15538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发包人应负责保证在现场或现场附近的发包人人员和发包人的其他承包人（如有）：</w:t>
      </w:r>
    </w:p>
    <w:p w14:paraId="028CAF6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（1）根据第7.3款[现场合作]的约定，与承包人进行合作；</w:t>
      </w:r>
    </w:p>
    <w:p w14:paraId="06F5EE9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（2）遵守第</w:t>
      </w:r>
      <w:r>
        <w:rPr>
          <w:rFonts w:ascii="宋体" w:hAnsi="宋体" w:cs="宋体"/>
          <w:color w:val="auto"/>
          <w:kern w:val="0"/>
          <w:szCs w:val="21"/>
          <w:highlight w:val="none"/>
          <w:lang w:bidi="ar"/>
        </w:rPr>
        <w:t>7.5</w:t>
      </w:r>
      <w:r>
        <w:rPr>
          <w:rFonts w:hint="eastAsia" w:ascii="宋体" w:hAnsi="宋体" w:cs="宋体"/>
          <w:color w:val="auto"/>
          <w:kern w:val="0"/>
          <w:szCs w:val="21"/>
          <w:highlight w:val="none"/>
          <w:lang w:bidi="ar"/>
        </w:rPr>
        <w:t>款[现场劳动用工</w:t>
      </w:r>
      <w:r>
        <w:rPr>
          <w:rFonts w:ascii="宋体" w:hAnsi="宋体" w:cs="宋体"/>
          <w:color w:val="auto"/>
          <w:kern w:val="0"/>
          <w:szCs w:val="21"/>
          <w:highlight w:val="none"/>
          <w:lang w:bidi="ar"/>
        </w:rPr>
        <w:t>]</w:t>
      </w:r>
      <w:r>
        <w:rPr>
          <w:rFonts w:hint="eastAsia" w:ascii="宋体" w:hAnsi="宋体" w:cs="宋体"/>
          <w:color w:val="auto"/>
          <w:kern w:val="0"/>
          <w:szCs w:val="21"/>
          <w:highlight w:val="none"/>
          <w:lang w:bidi="ar"/>
        </w:rPr>
        <w:t>、第7.6款[安全文明施工]、第7.7款[职业健康]和第7.8款[环境保护]的相关约定。</w:t>
      </w:r>
    </w:p>
    <w:p w14:paraId="35EC1A0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发包人应与承包人、由发包人直接发包的其他承包人（如有）订立施工现场统一管理协议，明确各方的权利义务。</w:t>
      </w:r>
    </w:p>
    <w:p w14:paraId="7C47BBA2">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136" w:name="_Toc20171743"/>
      <w:bookmarkEnd w:id="1136"/>
      <w:bookmarkStart w:id="1137" w:name="_Ref11959376"/>
      <w:bookmarkEnd w:id="1137"/>
      <w:bookmarkStart w:id="1138" w:name="_Ref11959372"/>
      <w:bookmarkStart w:id="1139" w:name="_Toc51766595"/>
      <w:bookmarkStart w:id="1140" w:name="_Toc170932463"/>
      <w:bookmarkStart w:id="1141" w:name="_Toc84930732"/>
      <w:bookmarkStart w:id="1142" w:name="_Toc28117"/>
      <w:bookmarkStart w:id="1143" w:name="_Toc26755"/>
      <w:bookmarkStart w:id="1144" w:name="_Toc25655"/>
      <w:bookmarkStart w:id="1145" w:name="_Toc58860182"/>
      <w:bookmarkStart w:id="1146" w:name="_Toc26806"/>
      <w:r>
        <w:rPr>
          <w:rFonts w:hint="eastAsia" w:ascii="宋体" w:hAnsi="宋体" w:cs="宋体"/>
          <w:color w:val="auto"/>
          <w:kern w:val="0"/>
          <w:szCs w:val="21"/>
          <w:highlight w:val="none"/>
          <w:lang w:bidi="ar"/>
        </w:rPr>
        <w:t>2</w:t>
      </w:r>
      <w:bookmarkEnd w:id="1138"/>
      <w:r>
        <w:rPr>
          <w:rFonts w:hint="eastAsia" w:ascii="宋体" w:hAnsi="宋体" w:cs="宋体"/>
          <w:color w:val="auto"/>
          <w:kern w:val="0"/>
          <w:szCs w:val="21"/>
          <w:highlight w:val="none"/>
          <w:lang w:bidi="ar"/>
        </w:rPr>
        <w:t>.7  其他义务</w:t>
      </w:r>
      <w:bookmarkEnd w:id="1139"/>
      <w:bookmarkEnd w:id="1140"/>
      <w:bookmarkEnd w:id="1141"/>
      <w:bookmarkEnd w:id="1142"/>
      <w:bookmarkEnd w:id="1143"/>
      <w:bookmarkEnd w:id="1144"/>
      <w:bookmarkEnd w:id="1145"/>
      <w:bookmarkEnd w:id="1146"/>
    </w:p>
    <w:p w14:paraId="145810D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发包人应履行合同约定的其他义务，双方可在专用合同条件内对发包人应履行的其他义务进行补充约定。</w:t>
      </w:r>
    </w:p>
    <w:p w14:paraId="4BCD261C">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147" w:name="_Toc20171744"/>
      <w:bookmarkEnd w:id="1147"/>
      <w:bookmarkStart w:id="1148" w:name="_Ref531952791"/>
      <w:bookmarkEnd w:id="1148"/>
      <w:bookmarkStart w:id="1149" w:name="_Toc6819"/>
      <w:bookmarkStart w:id="1150" w:name="_Toc170932464"/>
      <w:r>
        <w:rPr>
          <w:rFonts w:hint="eastAsia" w:ascii="宋体" w:hAnsi="宋体" w:cs="宋体"/>
          <w:color w:val="auto"/>
          <w:kern w:val="0"/>
          <w:szCs w:val="21"/>
          <w:highlight w:val="none"/>
          <w:lang w:bidi="ar"/>
        </w:rPr>
        <w:t>第3条  发包人的管理</w:t>
      </w:r>
      <w:bookmarkEnd w:id="1149"/>
      <w:bookmarkEnd w:id="1150"/>
    </w:p>
    <w:p w14:paraId="17792B56">
      <w:pPr>
        <w:widowControl/>
        <w:wordWrap w:val="0"/>
        <w:topLinePunct/>
        <w:adjustRightInd w:val="0"/>
        <w:snapToGrid w:val="0"/>
        <w:spacing w:after="163" w:afterLines="50" w:line="360" w:lineRule="auto"/>
        <w:outlineLvl w:val="2"/>
        <w:rPr>
          <w:rFonts w:ascii="宋体" w:hAnsi="宋体" w:cs="宋体"/>
          <w:color w:val="auto"/>
          <w:highlight w:val="none"/>
        </w:rPr>
      </w:pPr>
      <w:bookmarkStart w:id="1151" w:name="_Ref522810097"/>
      <w:bookmarkEnd w:id="1151"/>
      <w:bookmarkStart w:id="1152" w:name="_Ref522810094"/>
      <w:bookmarkEnd w:id="1152"/>
      <w:bookmarkStart w:id="1153" w:name="_Ref531951533"/>
      <w:bookmarkEnd w:id="1153"/>
      <w:bookmarkStart w:id="1154" w:name="_Toc20171745"/>
      <w:bookmarkEnd w:id="1154"/>
      <w:bookmarkStart w:id="1155" w:name="_Ref531951538"/>
      <w:bookmarkStart w:id="1156" w:name="_Toc28000"/>
      <w:bookmarkStart w:id="1157" w:name="_Toc26025"/>
      <w:bookmarkStart w:id="1158" w:name="_Toc27386"/>
      <w:bookmarkStart w:id="1159" w:name="_Toc51766597"/>
      <w:bookmarkStart w:id="1160" w:name="_Toc170932465"/>
      <w:bookmarkStart w:id="1161" w:name="_Toc27337"/>
      <w:bookmarkStart w:id="1162" w:name="_Toc58860184"/>
      <w:bookmarkStart w:id="1163" w:name="_Toc84930734"/>
      <w:r>
        <w:rPr>
          <w:rFonts w:hint="eastAsia" w:ascii="宋体" w:hAnsi="宋体" w:cs="宋体"/>
          <w:color w:val="auto"/>
          <w:szCs w:val="21"/>
          <w:highlight w:val="none"/>
          <w:lang w:bidi="ar"/>
        </w:rPr>
        <w:t>3</w:t>
      </w:r>
      <w:bookmarkEnd w:id="1155"/>
      <w:r>
        <w:rPr>
          <w:rFonts w:hint="eastAsia" w:ascii="宋体" w:hAnsi="宋体" w:cs="宋体"/>
          <w:color w:val="auto"/>
          <w:szCs w:val="21"/>
          <w:highlight w:val="none"/>
          <w:lang w:bidi="ar"/>
        </w:rPr>
        <w:t>.1  发包人代表</w:t>
      </w:r>
      <w:bookmarkEnd w:id="1156"/>
      <w:bookmarkEnd w:id="1157"/>
      <w:bookmarkEnd w:id="1158"/>
      <w:bookmarkEnd w:id="1159"/>
      <w:bookmarkEnd w:id="1160"/>
      <w:bookmarkEnd w:id="1161"/>
      <w:bookmarkEnd w:id="1162"/>
      <w:bookmarkEnd w:id="1163"/>
    </w:p>
    <w:p w14:paraId="27B3B80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65F3719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除非发包人另行通知承包人，发包人代表应被授予并且被认为具有发包人在授权范围内享有的相应权利，涉及第16.1款[由发包人解除合同]的权利除外。</w:t>
      </w:r>
    </w:p>
    <w:p w14:paraId="44819A9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发包人代表（或者在其为法人的情况下，被任命代表其行事的自然人）应：</w:t>
      </w:r>
    </w:p>
    <w:p w14:paraId="6077C82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（1）履行指派给其的职责，行使发包人托付给的权利；</w:t>
      </w:r>
    </w:p>
    <w:p w14:paraId="72C4446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（2）具备履行这些职责、行使这些权利的能力；</w:t>
      </w:r>
    </w:p>
    <w:p w14:paraId="095AB8C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（3）作为熟练的专业人员行事。</w:t>
      </w:r>
    </w:p>
    <w:p w14:paraId="748D86B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果发包人代表为法人且在订立本合同时未能确定授权代表的，发包人代表应在本合同订立之日起3日内向双方发出书面通知，告知被任命和授权的自然人以及任何替代人员。此授权在双方收到本通知后生效。发包人代表撤销该授权或者变更授权代表时也应同样发出该通知。</w:t>
      </w:r>
    </w:p>
    <w:p w14:paraId="357F317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16EC2A9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发包人代表不能按照合同约定履行其职责及义务，并导致合同无法继续正常履行的，承包人可以要求发包人撤换发包人代表。</w:t>
      </w:r>
    </w:p>
    <w:p w14:paraId="3387316F">
      <w:pPr>
        <w:widowControl/>
        <w:wordWrap w:val="0"/>
        <w:topLinePunct/>
        <w:adjustRightInd w:val="0"/>
        <w:snapToGrid w:val="0"/>
        <w:spacing w:after="163" w:afterLines="50" w:line="360" w:lineRule="auto"/>
        <w:outlineLvl w:val="2"/>
        <w:rPr>
          <w:rFonts w:ascii="宋体" w:hAnsi="宋体" w:cs="宋体"/>
          <w:color w:val="auto"/>
          <w:highlight w:val="none"/>
        </w:rPr>
      </w:pPr>
      <w:bookmarkStart w:id="1164" w:name="_Ref531951557"/>
      <w:bookmarkEnd w:id="1164"/>
      <w:bookmarkStart w:id="1165" w:name="_Toc20171746"/>
      <w:bookmarkEnd w:id="1165"/>
      <w:bookmarkStart w:id="1166" w:name="_Ref531951553"/>
      <w:bookmarkStart w:id="1167" w:name="_Toc12145"/>
      <w:bookmarkStart w:id="1168" w:name="_Toc58860185"/>
      <w:bookmarkStart w:id="1169" w:name="_Toc15100"/>
      <w:bookmarkStart w:id="1170" w:name="_Toc4156"/>
      <w:bookmarkStart w:id="1171" w:name="_Toc51766598"/>
      <w:bookmarkStart w:id="1172" w:name="_Toc12170"/>
      <w:bookmarkStart w:id="1173" w:name="_Toc84930735"/>
      <w:bookmarkStart w:id="1174" w:name="_Toc170932466"/>
      <w:r>
        <w:rPr>
          <w:rFonts w:hint="eastAsia" w:ascii="宋体" w:hAnsi="宋体" w:cs="宋体"/>
          <w:color w:val="auto"/>
          <w:szCs w:val="21"/>
          <w:highlight w:val="none"/>
          <w:lang w:bidi="ar"/>
        </w:rPr>
        <w:t>3</w:t>
      </w:r>
      <w:bookmarkEnd w:id="1166"/>
      <w:r>
        <w:rPr>
          <w:rFonts w:hint="eastAsia" w:ascii="宋体" w:hAnsi="宋体" w:cs="宋体"/>
          <w:color w:val="auto"/>
          <w:szCs w:val="21"/>
          <w:highlight w:val="none"/>
          <w:lang w:bidi="ar"/>
        </w:rPr>
        <w:t>.2  发包人人员</w:t>
      </w:r>
      <w:bookmarkEnd w:id="1167"/>
      <w:bookmarkEnd w:id="1168"/>
      <w:bookmarkEnd w:id="1169"/>
      <w:bookmarkEnd w:id="1170"/>
      <w:bookmarkEnd w:id="1171"/>
      <w:bookmarkEnd w:id="1172"/>
      <w:bookmarkEnd w:id="1173"/>
      <w:bookmarkEnd w:id="1174"/>
    </w:p>
    <w:p w14:paraId="79548F1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2F7E4D0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发包人应要求在施工现场的发包人人员遵守法律及有关安全、质量、环境保护、文明施工等规定，因发包人人员未遵守上述要求给承包人造成的损失和责任由发包人承担。</w:t>
      </w:r>
    </w:p>
    <w:p w14:paraId="2B6533E6">
      <w:pPr>
        <w:widowControl/>
        <w:wordWrap w:val="0"/>
        <w:topLinePunct/>
        <w:adjustRightInd w:val="0"/>
        <w:snapToGrid w:val="0"/>
        <w:spacing w:after="163" w:afterLines="50" w:line="360" w:lineRule="auto"/>
        <w:outlineLvl w:val="2"/>
        <w:rPr>
          <w:rFonts w:ascii="宋体" w:hAnsi="宋体" w:cs="宋体"/>
          <w:color w:val="auto"/>
          <w:highlight w:val="none"/>
        </w:rPr>
      </w:pPr>
      <w:bookmarkStart w:id="1175" w:name="_Toc28098"/>
      <w:bookmarkStart w:id="1176" w:name="_Toc84930736"/>
      <w:bookmarkStart w:id="1177" w:name="_Toc13324"/>
      <w:bookmarkStart w:id="1178" w:name="_Toc58860186"/>
      <w:bookmarkStart w:id="1179" w:name="_Toc170932467"/>
      <w:bookmarkStart w:id="1180" w:name="_Toc51766599"/>
      <w:bookmarkStart w:id="1181" w:name="_Toc9400"/>
      <w:bookmarkStart w:id="1182" w:name="_Toc16867"/>
      <w:r>
        <w:rPr>
          <w:rFonts w:hint="eastAsia" w:ascii="宋体" w:hAnsi="宋体" w:cs="宋体"/>
          <w:color w:val="auto"/>
          <w:szCs w:val="21"/>
          <w:highlight w:val="none"/>
          <w:lang w:bidi="ar"/>
        </w:rPr>
        <w:t>3.3  工程师</w:t>
      </w:r>
      <w:bookmarkEnd w:id="1175"/>
      <w:bookmarkEnd w:id="1176"/>
      <w:bookmarkEnd w:id="1177"/>
      <w:bookmarkEnd w:id="1178"/>
      <w:bookmarkEnd w:id="1179"/>
      <w:bookmarkEnd w:id="1180"/>
      <w:bookmarkEnd w:id="1181"/>
      <w:bookmarkEnd w:id="1182"/>
      <w:r>
        <w:rPr>
          <w:rFonts w:hint="eastAsia" w:ascii="宋体" w:hAnsi="宋体" w:cs="宋体"/>
          <w:color w:val="auto"/>
          <w:szCs w:val="21"/>
          <w:highlight w:val="none"/>
          <w:lang w:bidi="ar"/>
        </w:rPr>
        <w:t xml:space="preserve"> </w:t>
      </w:r>
    </w:p>
    <w:p w14:paraId="6F4F804E">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3.3.1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532F35C2">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3.3.2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5C29766D">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3.3.3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044C5D6B">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3.3.4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1A5C2AFE">
      <w:pPr>
        <w:widowControl/>
        <w:wordWrap w:val="0"/>
        <w:topLinePunct/>
        <w:adjustRightInd w:val="0"/>
        <w:snapToGrid w:val="0"/>
        <w:spacing w:after="163" w:afterLines="50" w:line="360" w:lineRule="auto"/>
        <w:outlineLvl w:val="2"/>
        <w:rPr>
          <w:rFonts w:ascii="宋体" w:hAnsi="宋体" w:cs="宋体"/>
          <w:color w:val="auto"/>
          <w:highlight w:val="none"/>
        </w:rPr>
      </w:pPr>
      <w:bookmarkStart w:id="1183" w:name="_Ref531951597"/>
      <w:bookmarkEnd w:id="1183"/>
      <w:bookmarkStart w:id="1184" w:name="_Ref531951594"/>
      <w:bookmarkStart w:id="1185" w:name="_Toc170932468"/>
      <w:bookmarkStart w:id="1186" w:name="_Toc22548"/>
      <w:bookmarkStart w:id="1187" w:name="_Toc20255"/>
      <w:bookmarkStart w:id="1188" w:name="_Toc51766600"/>
      <w:bookmarkStart w:id="1189" w:name="_Toc84930737"/>
      <w:bookmarkStart w:id="1190" w:name="_Toc23516"/>
      <w:bookmarkStart w:id="1191" w:name="_Toc18812"/>
      <w:bookmarkStart w:id="1192" w:name="_Toc58860187"/>
      <w:r>
        <w:rPr>
          <w:rFonts w:hint="eastAsia" w:ascii="宋体" w:hAnsi="宋体" w:cs="宋体"/>
          <w:color w:val="auto"/>
          <w:szCs w:val="21"/>
          <w:highlight w:val="none"/>
          <w:lang w:bidi="ar"/>
        </w:rPr>
        <w:t>3</w:t>
      </w:r>
      <w:bookmarkEnd w:id="1184"/>
      <w:r>
        <w:rPr>
          <w:rFonts w:hint="eastAsia" w:ascii="宋体" w:hAnsi="宋体" w:cs="宋体"/>
          <w:color w:val="auto"/>
          <w:szCs w:val="21"/>
          <w:highlight w:val="none"/>
          <w:lang w:bidi="ar"/>
        </w:rPr>
        <w:t>.4  任命和授权</w:t>
      </w:r>
      <w:bookmarkEnd w:id="1185"/>
      <w:bookmarkEnd w:id="1186"/>
      <w:bookmarkEnd w:id="1187"/>
      <w:bookmarkEnd w:id="1188"/>
      <w:bookmarkEnd w:id="1189"/>
      <w:bookmarkEnd w:id="1190"/>
      <w:bookmarkEnd w:id="1191"/>
      <w:bookmarkEnd w:id="1192"/>
    </w:p>
    <w:p w14:paraId="05824224">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3.4.1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7C189ACF">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3.4.2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4E9AC584">
      <w:pPr>
        <w:widowControl/>
        <w:wordWrap w:val="0"/>
        <w:topLinePunct/>
        <w:adjustRightInd w:val="0"/>
        <w:snapToGrid w:val="0"/>
        <w:spacing w:after="163" w:afterLines="50" w:line="360" w:lineRule="auto"/>
        <w:outlineLvl w:val="2"/>
        <w:rPr>
          <w:rFonts w:ascii="宋体" w:hAnsi="宋体" w:cs="宋体"/>
          <w:color w:val="auto"/>
          <w:highlight w:val="none"/>
        </w:rPr>
      </w:pPr>
      <w:bookmarkStart w:id="1193" w:name="_Toc20171749"/>
      <w:bookmarkEnd w:id="1193"/>
      <w:bookmarkStart w:id="1194" w:name="_Ref20165400"/>
      <w:bookmarkStart w:id="1195" w:name="_Toc15176"/>
      <w:bookmarkStart w:id="1196" w:name="_Toc84930738"/>
      <w:bookmarkStart w:id="1197" w:name="_Toc3937"/>
      <w:bookmarkStart w:id="1198" w:name="_Toc596"/>
      <w:bookmarkStart w:id="1199" w:name="_Toc51766601"/>
      <w:bookmarkStart w:id="1200" w:name="_Toc1246"/>
      <w:bookmarkStart w:id="1201" w:name="_Toc170932469"/>
      <w:bookmarkStart w:id="1202" w:name="_Toc58860188"/>
      <w:r>
        <w:rPr>
          <w:rFonts w:hint="eastAsia" w:ascii="宋体" w:hAnsi="宋体" w:cs="宋体"/>
          <w:color w:val="auto"/>
          <w:szCs w:val="21"/>
          <w:highlight w:val="none"/>
          <w:lang w:bidi="ar"/>
        </w:rPr>
        <w:t>3</w:t>
      </w:r>
      <w:bookmarkEnd w:id="1194"/>
      <w:r>
        <w:rPr>
          <w:rFonts w:hint="eastAsia" w:ascii="宋体" w:hAnsi="宋体" w:cs="宋体"/>
          <w:color w:val="auto"/>
          <w:szCs w:val="21"/>
          <w:highlight w:val="none"/>
          <w:lang w:bidi="ar"/>
        </w:rPr>
        <w:t>.5  指示</w:t>
      </w:r>
      <w:bookmarkEnd w:id="1195"/>
      <w:bookmarkEnd w:id="1196"/>
      <w:bookmarkEnd w:id="1197"/>
      <w:bookmarkEnd w:id="1198"/>
      <w:bookmarkEnd w:id="1199"/>
      <w:bookmarkEnd w:id="1200"/>
      <w:bookmarkEnd w:id="1201"/>
      <w:bookmarkEnd w:id="1202"/>
    </w:p>
    <w:p w14:paraId="28A7C745">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3.5.1工程师应按照发包人的授权发出指示。工程师的指示应采用书面形式，盖有工程师授权的项目管理机构章，并由工程师的授权人员签名。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58F7D223">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3.5.2承包人收到工程师作出的指示后应遵照执行。如果任何此类指示构成一项变更时，应按照第13条[变更与调整]的约定办理。</w:t>
      </w:r>
    </w:p>
    <w:p w14:paraId="3705D2DC">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3.5.3由于工程师未能按合同约定发出指示、指示延误或指示错误而导致承包人费用增加和（或）工期延误的，发包人应承担由此增加的费用和（或）工期延误。</w:t>
      </w:r>
    </w:p>
    <w:p w14:paraId="0DE444E0">
      <w:pPr>
        <w:widowControl/>
        <w:wordWrap w:val="0"/>
        <w:topLinePunct/>
        <w:adjustRightInd w:val="0"/>
        <w:snapToGrid w:val="0"/>
        <w:spacing w:after="163" w:afterLines="50" w:line="360" w:lineRule="auto"/>
        <w:outlineLvl w:val="2"/>
        <w:rPr>
          <w:rFonts w:ascii="宋体" w:hAnsi="宋体" w:cs="宋体"/>
          <w:color w:val="auto"/>
          <w:highlight w:val="none"/>
        </w:rPr>
      </w:pPr>
      <w:bookmarkStart w:id="1203" w:name="_Ref531951611"/>
      <w:bookmarkEnd w:id="1203"/>
      <w:bookmarkStart w:id="1204" w:name="_Ref531951609"/>
      <w:bookmarkEnd w:id="1204"/>
      <w:bookmarkStart w:id="1205" w:name="_Toc20171750"/>
      <w:bookmarkStart w:id="1206" w:name="_Toc9977"/>
      <w:bookmarkStart w:id="1207" w:name="_Toc84930739"/>
      <w:bookmarkStart w:id="1208" w:name="_Toc22818"/>
      <w:bookmarkStart w:id="1209" w:name="_Toc58860189"/>
      <w:bookmarkStart w:id="1210" w:name="_Toc5247"/>
      <w:bookmarkStart w:id="1211" w:name="_Toc170932470"/>
      <w:bookmarkStart w:id="1212" w:name="_Toc28209"/>
      <w:bookmarkStart w:id="1213" w:name="_Toc51766602"/>
      <w:r>
        <w:rPr>
          <w:rFonts w:hint="eastAsia" w:ascii="宋体" w:hAnsi="宋体" w:cs="宋体"/>
          <w:color w:val="auto"/>
          <w:szCs w:val="21"/>
          <w:highlight w:val="none"/>
          <w:lang w:bidi="ar"/>
        </w:rPr>
        <w:t>3</w:t>
      </w:r>
      <w:bookmarkEnd w:id="1205"/>
      <w:r>
        <w:rPr>
          <w:rFonts w:hint="eastAsia" w:ascii="宋体" w:hAnsi="宋体" w:cs="宋体"/>
          <w:color w:val="auto"/>
          <w:szCs w:val="21"/>
          <w:highlight w:val="none"/>
          <w:lang w:bidi="ar"/>
        </w:rPr>
        <w:t>.6  商定或确定</w:t>
      </w:r>
      <w:bookmarkEnd w:id="1206"/>
      <w:bookmarkEnd w:id="1207"/>
      <w:bookmarkEnd w:id="1208"/>
      <w:bookmarkEnd w:id="1209"/>
      <w:bookmarkEnd w:id="1210"/>
      <w:bookmarkEnd w:id="1211"/>
      <w:bookmarkEnd w:id="1212"/>
      <w:bookmarkEnd w:id="1213"/>
    </w:p>
    <w:p w14:paraId="40326DAF">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3.6.1合同约定工程师应按照本款对任何事项进行商定或确定时，工程师应及时与合同当事人协商，尽量达成一致。工程师应将商定的结果以书面形式通知发包人和承包人，并由双方签署确认。</w:t>
      </w:r>
    </w:p>
    <w:p w14:paraId="553D53A7">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3.6.2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42CBBE96">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14" w:name="_Ref532287856"/>
      <w:bookmarkEnd w:id="1214"/>
      <w:r>
        <w:rPr>
          <w:rFonts w:hint="eastAsia" w:ascii="宋体" w:hAnsi="宋体" w:cs="宋体"/>
          <w:color w:val="auto"/>
          <w:szCs w:val="21"/>
          <w:highlight w:val="none"/>
          <w:lang w:bidi="ar"/>
        </w:rPr>
        <w:t>3.6.3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p>
    <w:p w14:paraId="176C915B">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3.6.4在该争议解决前，双方应暂按工程师的确定执行。按照第20条[争议解决]的约定对工程师的确定作出修改的，按修改后的结果执行，由此导致承包人增加的费用和延误的工期由责任方承担。</w:t>
      </w:r>
    </w:p>
    <w:p w14:paraId="130187D1">
      <w:pPr>
        <w:widowControl/>
        <w:wordWrap w:val="0"/>
        <w:topLinePunct/>
        <w:adjustRightInd w:val="0"/>
        <w:snapToGrid w:val="0"/>
        <w:spacing w:after="163" w:afterLines="50" w:line="360" w:lineRule="auto"/>
        <w:outlineLvl w:val="2"/>
        <w:rPr>
          <w:rFonts w:ascii="宋体" w:hAnsi="宋体" w:cs="宋体"/>
          <w:color w:val="auto"/>
          <w:highlight w:val="none"/>
        </w:rPr>
      </w:pPr>
      <w:bookmarkStart w:id="1215" w:name="_Ref531951747"/>
      <w:bookmarkEnd w:id="1215"/>
      <w:bookmarkStart w:id="1216" w:name="_Toc20171751"/>
      <w:bookmarkEnd w:id="1216"/>
      <w:bookmarkStart w:id="1217" w:name="_Ref531951749"/>
      <w:bookmarkStart w:id="1218" w:name="_Toc17427"/>
      <w:bookmarkStart w:id="1219" w:name="_Toc6016"/>
      <w:bookmarkStart w:id="1220" w:name="_Toc1155"/>
      <w:bookmarkStart w:id="1221" w:name="_Toc11076"/>
      <w:bookmarkStart w:id="1222" w:name="_Toc51766603"/>
      <w:bookmarkStart w:id="1223" w:name="_Toc170932471"/>
      <w:bookmarkStart w:id="1224" w:name="_Toc58860190"/>
      <w:bookmarkStart w:id="1225" w:name="_Toc84930740"/>
      <w:r>
        <w:rPr>
          <w:rFonts w:hint="eastAsia" w:ascii="宋体" w:hAnsi="宋体" w:cs="宋体"/>
          <w:color w:val="auto"/>
          <w:szCs w:val="21"/>
          <w:highlight w:val="none"/>
          <w:lang w:bidi="ar"/>
        </w:rPr>
        <w:t>3</w:t>
      </w:r>
      <w:bookmarkEnd w:id="1217"/>
      <w:r>
        <w:rPr>
          <w:rFonts w:hint="eastAsia" w:ascii="宋体" w:hAnsi="宋体" w:cs="宋体"/>
          <w:color w:val="auto"/>
          <w:szCs w:val="21"/>
          <w:highlight w:val="none"/>
          <w:lang w:bidi="ar"/>
        </w:rPr>
        <w:t>.7  会议</w:t>
      </w:r>
      <w:bookmarkEnd w:id="1218"/>
      <w:bookmarkEnd w:id="1219"/>
      <w:bookmarkEnd w:id="1220"/>
      <w:bookmarkEnd w:id="1221"/>
      <w:bookmarkEnd w:id="1222"/>
      <w:bookmarkEnd w:id="1223"/>
      <w:bookmarkEnd w:id="1224"/>
      <w:bookmarkEnd w:id="1225"/>
    </w:p>
    <w:p w14:paraId="1E101551">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3.7.1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6B281838">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3.7.2除专用合同条件另有约定外，发包人应保存每次会议参加人签名的记录，并将会议纪要提供给出席会议的人员。任何根据此类会议以及会议纪要采取的行动应符合本合同的约定。</w:t>
      </w:r>
    </w:p>
    <w:p w14:paraId="482D7C6B">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226" w:name="_Ref531952805"/>
      <w:bookmarkEnd w:id="1226"/>
      <w:bookmarkStart w:id="1227" w:name="_Toc20171752"/>
      <w:bookmarkStart w:id="1228" w:name="_Toc170932472"/>
      <w:bookmarkStart w:id="1229" w:name="_Toc29900"/>
      <w:r>
        <w:rPr>
          <w:rFonts w:hint="eastAsia" w:ascii="宋体" w:hAnsi="宋体" w:cs="宋体"/>
          <w:color w:val="auto"/>
          <w:kern w:val="0"/>
          <w:szCs w:val="21"/>
          <w:highlight w:val="none"/>
          <w:lang w:bidi="ar"/>
        </w:rPr>
        <w:t xml:space="preserve">第4条 </w:t>
      </w:r>
      <w:bookmarkEnd w:id="1227"/>
      <w:r>
        <w:rPr>
          <w:rFonts w:hint="eastAsia" w:ascii="宋体" w:hAnsi="宋体" w:cs="宋体"/>
          <w:color w:val="auto"/>
          <w:kern w:val="0"/>
          <w:szCs w:val="21"/>
          <w:highlight w:val="none"/>
          <w:lang w:bidi="ar"/>
        </w:rPr>
        <w:t xml:space="preserve"> 承包人</w:t>
      </w:r>
      <w:bookmarkEnd w:id="1228"/>
      <w:bookmarkEnd w:id="1229"/>
    </w:p>
    <w:p w14:paraId="4BCE3418">
      <w:pPr>
        <w:widowControl/>
        <w:wordWrap w:val="0"/>
        <w:topLinePunct/>
        <w:adjustRightInd w:val="0"/>
        <w:snapToGrid w:val="0"/>
        <w:spacing w:after="163" w:afterLines="50" w:line="360" w:lineRule="auto"/>
        <w:outlineLvl w:val="2"/>
        <w:rPr>
          <w:rFonts w:ascii="宋体" w:hAnsi="宋体" w:cs="宋体"/>
          <w:color w:val="auto"/>
          <w:highlight w:val="none"/>
        </w:rPr>
      </w:pPr>
      <w:bookmarkStart w:id="1230" w:name="_Ref531951958"/>
      <w:bookmarkEnd w:id="1230"/>
      <w:bookmarkStart w:id="1231" w:name="_Ref531951961"/>
      <w:bookmarkEnd w:id="1231"/>
      <w:bookmarkStart w:id="1232" w:name="_Ref531951941"/>
      <w:bookmarkEnd w:id="1232"/>
      <w:bookmarkStart w:id="1233" w:name="_Ref531951945"/>
      <w:bookmarkEnd w:id="1233"/>
      <w:bookmarkStart w:id="1234" w:name="_Toc20171753"/>
      <w:bookmarkEnd w:id="1234"/>
      <w:bookmarkStart w:id="1235" w:name="_Ref531951975"/>
      <w:bookmarkStart w:id="1236" w:name="_Toc58860192"/>
      <w:bookmarkStart w:id="1237" w:name="_Toc12650"/>
      <w:bookmarkStart w:id="1238" w:name="_Toc10227"/>
      <w:bookmarkStart w:id="1239" w:name="_Toc84930742"/>
      <w:bookmarkStart w:id="1240" w:name="_Toc170932473"/>
      <w:bookmarkStart w:id="1241" w:name="_Toc27227"/>
      <w:bookmarkStart w:id="1242" w:name="_Toc51766605"/>
      <w:bookmarkStart w:id="1243" w:name="_Toc26043"/>
      <w:r>
        <w:rPr>
          <w:rFonts w:hint="eastAsia" w:ascii="宋体" w:hAnsi="宋体" w:cs="宋体"/>
          <w:color w:val="auto"/>
          <w:szCs w:val="21"/>
          <w:highlight w:val="none"/>
          <w:lang w:bidi="ar"/>
        </w:rPr>
        <w:t>4</w:t>
      </w:r>
      <w:bookmarkEnd w:id="1235"/>
      <w:r>
        <w:rPr>
          <w:rFonts w:hint="eastAsia" w:ascii="宋体" w:hAnsi="宋体" w:cs="宋体"/>
          <w:color w:val="auto"/>
          <w:szCs w:val="21"/>
          <w:highlight w:val="none"/>
          <w:lang w:bidi="ar"/>
        </w:rPr>
        <w:t>.1  承包人的一般义务</w:t>
      </w:r>
      <w:bookmarkEnd w:id="1236"/>
      <w:bookmarkEnd w:id="1237"/>
      <w:bookmarkEnd w:id="1238"/>
      <w:bookmarkEnd w:id="1239"/>
      <w:bookmarkEnd w:id="1240"/>
      <w:bookmarkEnd w:id="1241"/>
      <w:bookmarkEnd w:id="1242"/>
      <w:bookmarkEnd w:id="1243"/>
      <w:r>
        <w:rPr>
          <w:rFonts w:hint="eastAsia" w:ascii="宋体" w:hAnsi="宋体" w:cs="宋体"/>
          <w:color w:val="auto"/>
          <w:szCs w:val="21"/>
          <w:highlight w:val="none"/>
          <w:lang w:bidi="ar"/>
        </w:rPr>
        <w:t xml:space="preserve"> </w:t>
      </w:r>
    </w:p>
    <w:p w14:paraId="4C7BA686">
      <w:pPr>
        <w:widowControl/>
        <w:adjustRightInd w:val="0"/>
        <w:snapToGrid w:val="0"/>
        <w:spacing w:after="163" w:afterLines="50" w:line="360" w:lineRule="auto"/>
        <w:ind w:firstLine="420" w:firstLineChars="200"/>
        <w:rPr>
          <w:rFonts w:ascii="宋体" w:hAnsi="宋体" w:cs="宋体"/>
          <w:color w:val="auto"/>
          <w:kern w:val="0"/>
          <w:highlight w:val="none"/>
        </w:rPr>
      </w:pPr>
      <w:bookmarkStart w:id="1244" w:name="_Ref509046929"/>
      <w:bookmarkEnd w:id="1244"/>
      <w:r>
        <w:rPr>
          <w:rFonts w:hint="eastAsia" w:ascii="宋体" w:hAnsi="宋体" w:cs="宋体"/>
          <w:color w:val="auto"/>
          <w:kern w:val="0"/>
          <w:szCs w:val="21"/>
          <w:highlight w:val="none"/>
          <w:lang w:bidi="ar"/>
        </w:rPr>
        <w:t>除专用合同条件另有约定外，承包人在履行合同过程中应遵守法律和工程建设标准规范，并履行以下义务：</w:t>
      </w:r>
    </w:p>
    <w:p w14:paraId="0D06BB2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（1）办理法律规定和合同约定由承包人办理的许可和批准，将办理结果书面报送发包人留存，并承担因承包人违反法律或合同约定给发包人造成的任何费用和损失；</w:t>
      </w:r>
    </w:p>
    <w:p w14:paraId="4E4F733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（2）按合同约定完成全部工作并在缺陷责任期和保修期内承担缺陷保证责任和保修义务，对工作中的任何缺陷进行整改、完善和修补，使其满足合同约定的目的；</w:t>
      </w:r>
    </w:p>
    <w:p w14:paraId="14B946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（3）提供合同约定的工程设备和承包人文件，以及为完成合同工作所需的劳务、材料、施工设备和其他物品，并按合同约定负责临时设施的设计、施工、运行、维护、管理和拆除；</w:t>
      </w:r>
    </w:p>
    <w:p w14:paraId="4F79F29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（4）按合同约定的工作内容和进度要求，编制设计、施工的组织和实施计划，保证项目进度计划的实现，并对所有设计、施工作业和施工方法，以及全部工程的完备性和安全可靠性负责；</w:t>
      </w:r>
    </w:p>
    <w:p w14:paraId="60AB3B1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（5）按法律规定和合同约定采取安全文明施工、职业健康和环境保护措施，办理员工工伤保险等相关保险，确保工程及人员、材料、设备和设施的安全，防止因工程实施造成的人身伤害和财产损失；</w:t>
      </w:r>
    </w:p>
    <w:p w14:paraId="5E74E6F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6</w:t>
      </w:r>
      <w:r>
        <w:rPr>
          <w:rFonts w:hint="eastAsia" w:ascii="宋体" w:hAnsi="宋体" w:cs="宋体"/>
          <w:color w:val="auto"/>
          <w:kern w:val="0"/>
          <w:szCs w:val="21"/>
          <w:highlight w:val="none"/>
          <w:lang w:bidi="ar"/>
        </w:rPr>
        <w:t>）将发包人按合同约定支付的各项价款专用于合同工程，且应及时支付其雇用人员（包括建筑工人）工资，并及时向分包人支付合同价款；</w:t>
      </w:r>
    </w:p>
    <w:p w14:paraId="4857096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7</w:t>
      </w:r>
      <w:r>
        <w:rPr>
          <w:rFonts w:hint="eastAsia" w:ascii="宋体" w:hAnsi="宋体" w:cs="宋体"/>
          <w:color w:val="auto"/>
          <w:kern w:val="0"/>
          <w:szCs w:val="21"/>
          <w:highlight w:val="none"/>
          <w:lang w:bidi="ar"/>
        </w:rPr>
        <w:t>）在进行合同约定的各项工作时，不得侵害发包人与他人使用公用道路、水源、市政管网等公共设施的权利，避免对邻近的公共设施产生干扰。</w:t>
      </w:r>
    </w:p>
    <w:p w14:paraId="18D17589">
      <w:pPr>
        <w:widowControl/>
        <w:wordWrap w:val="0"/>
        <w:topLinePunct/>
        <w:adjustRightInd w:val="0"/>
        <w:snapToGrid w:val="0"/>
        <w:spacing w:after="163" w:afterLines="50" w:line="360" w:lineRule="auto"/>
        <w:outlineLvl w:val="2"/>
        <w:rPr>
          <w:rFonts w:ascii="宋体" w:hAnsi="宋体" w:cs="宋体"/>
          <w:color w:val="auto"/>
          <w:highlight w:val="none"/>
        </w:rPr>
      </w:pPr>
      <w:bookmarkStart w:id="1245" w:name="_Ref4426803"/>
      <w:bookmarkEnd w:id="1245"/>
      <w:bookmarkStart w:id="1246" w:name="_Toc20171754"/>
      <w:bookmarkEnd w:id="1246"/>
      <w:bookmarkStart w:id="1247" w:name="_Ref4428418"/>
      <w:bookmarkStart w:id="1248" w:name="_Toc170932474"/>
      <w:bookmarkStart w:id="1249" w:name="_Toc51766606"/>
      <w:bookmarkStart w:id="1250" w:name="_Toc275"/>
      <w:bookmarkStart w:id="1251" w:name="_Toc22503"/>
      <w:bookmarkStart w:id="1252" w:name="_Toc9708"/>
      <w:bookmarkStart w:id="1253" w:name="_Toc84930743"/>
      <w:bookmarkStart w:id="1254" w:name="_Toc7548"/>
      <w:bookmarkStart w:id="1255" w:name="_Toc58860193"/>
      <w:r>
        <w:rPr>
          <w:rFonts w:hint="eastAsia" w:ascii="宋体" w:hAnsi="宋体" w:cs="宋体"/>
          <w:color w:val="auto"/>
          <w:szCs w:val="21"/>
          <w:highlight w:val="none"/>
          <w:lang w:bidi="ar"/>
        </w:rPr>
        <w:t>4</w:t>
      </w:r>
      <w:bookmarkEnd w:id="1247"/>
      <w:r>
        <w:rPr>
          <w:rFonts w:hint="eastAsia" w:ascii="宋体" w:hAnsi="宋体" w:cs="宋体"/>
          <w:color w:val="auto"/>
          <w:szCs w:val="21"/>
          <w:highlight w:val="none"/>
          <w:lang w:bidi="ar"/>
        </w:rPr>
        <w:t>.2  履约担保</w:t>
      </w:r>
      <w:bookmarkEnd w:id="1248"/>
      <w:bookmarkEnd w:id="1249"/>
      <w:bookmarkEnd w:id="1250"/>
      <w:bookmarkEnd w:id="1251"/>
      <w:bookmarkEnd w:id="1252"/>
      <w:bookmarkEnd w:id="1253"/>
      <w:bookmarkEnd w:id="1254"/>
      <w:bookmarkEnd w:id="1255"/>
    </w:p>
    <w:p w14:paraId="2BABC94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7250AE0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承包人应保证其履约担保在发包人竣工验收前一直有效，发包人应在竣工验收合格后7天内将履约担保款项退还给承包人或者解除履约担保。</w:t>
      </w:r>
    </w:p>
    <w:p w14:paraId="3A28EE1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因承包人原因导致工期延长的，继续提供履约担保所增加的费用由承包人承担；非因承包人原因导致工期延长的，继续提供履约担保所增加的费用由发包人承担。</w:t>
      </w:r>
    </w:p>
    <w:p w14:paraId="5C80FDC2">
      <w:pPr>
        <w:widowControl/>
        <w:wordWrap w:val="0"/>
        <w:topLinePunct/>
        <w:adjustRightInd w:val="0"/>
        <w:snapToGrid w:val="0"/>
        <w:spacing w:after="163" w:afterLines="50" w:line="360" w:lineRule="auto"/>
        <w:outlineLvl w:val="2"/>
        <w:rPr>
          <w:rFonts w:ascii="宋体" w:hAnsi="宋体" w:cs="宋体"/>
          <w:color w:val="auto"/>
          <w:highlight w:val="none"/>
        </w:rPr>
      </w:pPr>
      <w:bookmarkStart w:id="1256" w:name="_Ref532689108"/>
      <w:bookmarkEnd w:id="1256"/>
      <w:bookmarkStart w:id="1257" w:name="_Ref532689105"/>
      <w:bookmarkEnd w:id="1257"/>
      <w:bookmarkStart w:id="1258" w:name="_Toc20171755"/>
      <w:bookmarkStart w:id="1259" w:name="_Toc21809"/>
      <w:bookmarkStart w:id="1260" w:name="_Toc2595"/>
      <w:bookmarkStart w:id="1261" w:name="_Toc58860194"/>
      <w:bookmarkStart w:id="1262" w:name="_Toc170932475"/>
      <w:bookmarkStart w:id="1263" w:name="_Toc17466"/>
      <w:bookmarkStart w:id="1264" w:name="_Toc51766607"/>
      <w:bookmarkStart w:id="1265" w:name="_Toc16863"/>
      <w:bookmarkStart w:id="1266" w:name="_Toc84930744"/>
      <w:r>
        <w:rPr>
          <w:rFonts w:hint="eastAsia" w:ascii="宋体" w:hAnsi="宋体" w:cs="宋体"/>
          <w:color w:val="auto"/>
          <w:szCs w:val="21"/>
          <w:highlight w:val="none"/>
          <w:lang w:bidi="ar"/>
        </w:rPr>
        <w:t>4</w:t>
      </w:r>
      <w:bookmarkEnd w:id="1258"/>
      <w:r>
        <w:rPr>
          <w:rFonts w:hint="eastAsia" w:ascii="宋体" w:hAnsi="宋体" w:cs="宋体"/>
          <w:color w:val="auto"/>
          <w:szCs w:val="21"/>
          <w:highlight w:val="none"/>
          <w:lang w:bidi="ar"/>
        </w:rPr>
        <w:t>.3  工程项目经理</w:t>
      </w:r>
      <w:bookmarkEnd w:id="1259"/>
      <w:bookmarkEnd w:id="1260"/>
      <w:bookmarkEnd w:id="1261"/>
      <w:bookmarkEnd w:id="1262"/>
      <w:bookmarkEnd w:id="1263"/>
      <w:bookmarkEnd w:id="1264"/>
      <w:bookmarkEnd w:id="1265"/>
      <w:bookmarkEnd w:id="1266"/>
    </w:p>
    <w:p w14:paraId="1F7E04BE">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67" w:name="_Ref532351726"/>
      <w:bookmarkEnd w:id="1267"/>
      <w:r>
        <w:rPr>
          <w:rFonts w:hint="eastAsia" w:ascii="宋体" w:hAnsi="宋体" w:cs="宋体"/>
          <w:color w:val="auto"/>
          <w:szCs w:val="21"/>
          <w:highlight w:val="none"/>
          <w:lang w:bidi="ar"/>
        </w:rPr>
        <w:t>4.3.1工程项目经理应为合同当事人所确认的人选，并在专用合同条件中明确工程项目经理的姓名、注册执业资格或职称、联系方式及授权范围等事项。工程项目经理应具备履行其职责所需的资格、经验和能力，并为承包人正式聘用的员工，承包人应向发包人提交工程项目经理与承包人之间的劳动合同，以及承包人为工程项目经理缴纳社会保险的有效证明。承包人不提交上述文件的，工程项目经理无权履行职责，发包人有权要求更换工程项目经理，由此增加的费用和（或）延误的工期由承包人承担。同时，发包人有权根据专用合同条件约定要求承包人承担违约责任。</w:t>
      </w:r>
    </w:p>
    <w:p w14:paraId="2A354ABE">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68" w:name="_Ref532689263"/>
      <w:bookmarkEnd w:id="1268"/>
      <w:r>
        <w:rPr>
          <w:rFonts w:hint="eastAsia" w:ascii="宋体" w:hAnsi="宋体" w:cs="宋体"/>
          <w:color w:val="auto"/>
          <w:szCs w:val="21"/>
          <w:highlight w:val="none"/>
          <w:lang w:bidi="ar"/>
        </w:rPr>
        <w:t>4.3.2承包人应按合同协议书的约定指派工程项目经理，并在约定的期限内到职。工程项目经理不得同时担任其他工程项目的工程项目经理或施工工程项目经理（含施工总承包工程、专业承包工程）。工程在现场实施的全部时间内，工程项目经理每月在施工现场时间不得少于专用合同条件约定的天数。工程项目经理确需离开施工现场时，应事先通知工程师，并取得发包人的书面同意。工程项目经理未经批准擅自离开施工现场的，承包人应按照专用合同条件的约定承担违约责任。工程项目经理的通知中应当载明临时代行其职责的人员的注册执业资格、管理经验等资料，该人员应具备履行相应职责的资格、经验和能力。</w:t>
      </w:r>
    </w:p>
    <w:p w14:paraId="2B64781F">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69" w:name="_Ref532689178"/>
      <w:bookmarkEnd w:id="1269"/>
      <w:bookmarkStart w:id="1270" w:name="_Ref531952112"/>
      <w:r>
        <w:rPr>
          <w:rFonts w:hint="eastAsia" w:ascii="宋体" w:hAnsi="宋体" w:cs="宋体"/>
          <w:color w:val="auto"/>
          <w:szCs w:val="21"/>
          <w:highlight w:val="none"/>
          <w:lang w:bidi="ar"/>
        </w:rPr>
        <w:t>4</w:t>
      </w:r>
      <w:bookmarkEnd w:id="1270"/>
      <w:r>
        <w:rPr>
          <w:rFonts w:hint="eastAsia" w:ascii="宋体" w:hAnsi="宋体" w:cs="宋体"/>
          <w:color w:val="auto"/>
          <w:szCs w:val="21"/>
          <w:highlight w:val="none"/>
          <w:lang w:bidi="ar"/>
        </w:rPr>
        <w:t>.3.3承包人应根据本合同的约定授予工程项目经理代表承包人履行合同所需的权利，工程项目经理权限以专用合同条件中约定的权限为准。经承包人授权后，工程项目经理应按合同约定以及工程师按第3.5款[指示]作出的指示，代表承包人负责组织合同的实施。在紧急情况下，且无法与发包人和工程师取得联系时，工程项目经理有权采取必要的措施保证人身、工程和财产的安全，但须在事后48小时内向工程师送交书面报告。</w:t>
      </w:r>
    </w:p>
    <w:p w14:paraId="70AE9EC1">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71" w:name="_Ref4426412"/>
      <w:bookmarkEnd w:id="1271"/>
      <w:r>
        <w:rPr>
          <w:rFonts w:hint="eastAsia" w:ascii="宋体" w:hAnsi="宋体" w:cs="宋体"/>
          <w:color w:val="auto"/>
          <w:szCs w:val="21"/>
          <w:highlight w:val="none"/>
          <w:lang w:bidi="ar"/>
        </w:rPr>
        <w:t>4.3.4承包人需要更换工程项目经理的，应提前14天书面通知发包人并抄送工程师，征得发包人书面同意。通知中应当载明继任工程项目经理的注册执业资格、管理经验等资料，继任工程项目经理继续履行本合同约定的职责。未经发包人书面同意，承包人不得擅自更换工程项目经理，在发包人未予以书面回复期间内，工程项目经理将继续履行其职责。工程项目经理突发丧失履行职务能力的，承包人应当及时委派一位具有相应资格能力的人员担任临时工程项目经理，履行工程项目经理的职责，临时工程项目经理将履行职责直至发包人同意新的工程项目经理的任命之日止。承包人擅自更换工程项目经理的，应按照专用合同条件的约定承担违约责任。</w:t>
      </w:r>
    </w:p>
    <w:p w14:paraId="122D6C2B">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72" w:name="_Ref531952137"/>
      <w:bookmarkEnd w:id="1272"/>
      <w:r>
        <w:rPr>
          <w:rFonts w:hint="eastAsia" w:ascii="宋体" w:hAnsi="宋体" w:cs="宋体"/>
          <w:color w:val="auto"/>
          <w:szCs w:val="21"/>
          <w:highlight w:val="none"/>
          <w:lang w:bidi="ar"/>
        </w:rPr>
        <w:t>4.3.5发包人有权书面通知承包人要求更换其认为不称职的工程项目经理，通知中应当载明要求更换的理由。承包人应在接到更换通知后14天内向发包人提出书面的改进报告。如承包人没有提出改进报告，应在收到更换通知后</w:t>
      </w:r>
      <w:r>
        <w:rPr>
          <w:rFonts w:ascii="宋体" w:hAnsi="宋体" w:cs="宋体"/>
          <w:color w:val="auto"/>
          <w:szCs w:val="21"/>
          <w:highlight w:val="none"/>
          <w:lang w:bidi="ar"/>
        </w:rPr>
        <w:t>28天内更换</w:t>
      </w:r>
      <w:r>
        <w:rPr>
          <w:rFonts w:hint="eastAsia" w:ascii="宋体" w:hAnsi="宋体" w:cs="宋体"/>
          <w:color w:val="auto"/>
          <w:szCs w:val="21"/>
          <w:highlight w:val="none"/>
          <w:lang w:bidi="ar"/>
        </w:rPr>
        <w:t>工程项目经理</w:t>
      </w:r>
      <w:r>
        <w:rPr>
          <w:rFonts w:ascii="宋体" w:hAnsi="宋体" w:cs="宋体"/>
          <w:color w:val="auto"/>
          <w:szCs w:val="21"/>
          <w:highlight w:val="none"/>
          <w:lang w:bidi="ar"/>
        </w:rPr>
        <w:t>。</w:t>
      </w:r>
      <w:r>
        <w:rPr>
          <w:rFonts w:hint="eastAsia" w:ascii="宋体" w:hAnsi="宋体" w:cs="宋体"/>
          <w:color w:val="auto"/>
          <w:szCs w:val="21"/>
          <w:highlight w:val="none"/>
          <w:lang w:bidi="ar"/>
        </w:rPr>
        <w:t>发包人收到改进报告后仍要求更换的，承包人应在接到第二次更换通知的28天内进行更换，并将新任命的工程项目经理的注册执业资格、管理经验等资料书面通知发包人。继任工程项目经理继续履行本合同约定的职责。承包人无正当理由拒绝更换工程项目经理的，应按照专用合同条件的约定承担违约责任。</w:t>
      </w:r>
    </w:p>
    <w:p w14:paraId="48DC25C5">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73" w:name="_Ref122620"/>
      <w:bookmarkEnd w:id="1273"/>
      <w:r>
        <w:rPr>
          <w:rFonts w:hint="eastAsia" w:ascii="宋体" w:hAnsi="宋体" w:cs="宋体"/>
          <w:color w:val="auto"/>
          <w:szCs w:val="21"/>
          <w:highlight w:val="none"/>
          <w:lang w:bidi="ar"/>
        </w:rPr>
        <w:t>4.3.6工程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p>
    <w:p w14:paraId="21E3ED80">
      <w:pPr>
        <w:widowControl/>
        <w:wordWrap w:val="0"/>
        <w:topLinePunct/>
        <w:adjustRightInd w:val="0"/>
        <w:snapToGrid w:val="0"/>
        <w:spacing w:after="163" w:afterLines="50" w:line="360" w:lineRule="auto"/>
        <w:outlineLvl w:val="2"/>
        <w:rPr>
          <w:rFonts w:ascii="宋体" w:hAnsi="宋体" w:cs="宋体"/>
          <w:color w:val="auto"/>
          <w:highlight w:val="none"/>
        </w:rPr>
      </w:pPr>
      <w:bookmarkStart w:id="1274" w:name="_Ref531952175"/>
      <w:bookmarkEnd w:id="1274"/>
      <w:bookmarkStart w:id="1275" w:name="_Ref531952172"/>
      <w:bookmarkEnd w:id="1275"/>
      <w:bookmarkStart w:id="1276" w:name="_Toc20171756"/>
      <w:bookmarkStart w:id="1277" w:name="_Toc170932476"/>
      <w:bookmarkStart w:id="1278" w:name="_Toc22892"/>
      <w:bookmarkStart w:id="1279" w:name="_Toc21828"/>
      <w:bookmarkStart w:id="1280" w:name="_Toc51766608"/>
      <w:bookmarkStart w:id="1281" w:name="_Toc13144"/>
      <w:bookmarkStart w:id="1282" w:name="_Toc84930745"/>
      <w:bookmarkStart w:id="1283" w:name="_Toc58860195"/>
      <w:bookmarkStart w:id="1284" w:name="_Toc2234"/>
      <w:r>
        <w:rPr>
          <w:rFonts w:hint="eastAsia" w:ascii="宋体" w:hAnsi="宋体" w:cs="宋体"/>
          <w:color w:val="auto"/>
          <w:szCs w:val="21"/>
          <w:highlight w:val="none"/>
          <w:lang w:bidi="ar"/>
        </w:rPr>
        <w:t xml:space="preserve">4.4  </w:t>
      </w:r>
      <w:bookmarkEnd w:id="1276"/>
      <w:r>
        <w:rPr>
          <w:rFonts w:hint="eastAsia" w:ascii="宋体" w:hAnsi="宋体" w:cs="宋体"/>
          <w:color w:val="auto"/>
          <w:szCs w:val="21"/>
          <w:highlight w:val="none"/>
          <w:lang w:bidi="ar"/>
        </w:rPr>
        <w:t>承包人人员</w:t>
      </w:r>
      <w:bookmarkEnd w:id="1277"/>
      <w:bookmarkEnd w:id="1278"/>
      <w:bookmarkEnd w:id="1279"/>
      <w:bookmarkEnd w:id="1280"/>
      <w:bookmarkEnd w:id="1281"/>
      <w:bookmarkEnd w:id="1282"/>
      <w:bookmarkEnd w:id="1283"/>
      <w:bookmarkEnd w:id="1284"/>
    </w:p>
    <w:p w14:paraId="3A364FCD">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85" w:name="_Ref531952185"/>
      <w:bookmarkEnd w:id="1285"/>
      <w:r>
        <w:rPr>
          <w:rFonts w:hint="eastAsia" w:ascii="宋体" w:hAnsi="宋体" w:cs="宋体"/>
          <w:color w:val="auto"/>
          <w:szCs w:val="21"/>
          <w:highlight w:val="none"/>
          <w:lang w:bidi="ar"/>
        </w:rPr>
        <w:t>4.4.1人员安排</w:t>
      </w:r>
    </w:p>
    <w:p w14:paraId="7B9BCC1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114CB68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关键人员</w:t>
      </w:r>
      <w:bookmarkStart w:id="1286" w:name="_Hlk16210335"/>
      <w:r>
        <w:rPr>
          <w:rFonts w:hint="eastAsia" w:ascii="宋体" w:hAnsi="宋体" w:cs="宋体"/>
          <w:color w:val="auto"/>
          <w:kern w:val="0"/>
          <w:szCs w:val="21"/>
          <w:highlight w:val="none"/>
          <w:lang w:bidi="ar"/>
        </w:rPr>
        <w:t>是发包人及承包人一致认为对工程建设起重要作用的承包人主要管理人员或技术人员。关键人员的具体范围由发包人及承包人在附件</w:t>
      </w:r>
      <w:r>
        <w:rPr>
          <w:rFonts w:ascii="宋体" w:hAnsi="宋体" w:cs="宋体"/>
          <w:color w:val="auto"/>
          <w:kern w:val="0"/>
          <w:szCs w:val="21"/>
          <w:highlight w:val="none"/>
          <w:lang w:bidi="ar"/>
        </w:rPr>
        <w:t>5</w:t>
      </w:r>
      <w:r>
        <w:rPr>
          <w:rFonts w:hint="eastAsia" w:ascii="宋体" w:hAnsi="宋体" w:cs="宋体"/>
          <w:color w:val="auto"/>
          <w:kern w:val="0"/>
          <w:szCs w:val="21"/>
          <w:highlight w:val="none"/>
          <w:lang w:bidi="ar"/>
        </w:rPr>
        <w:t>《承包人主要管理人员表》中另行约定。</w:t>
      </w:r>
      <w:bookmarkEnd w:id="1286"/>
    </w:p>
    <w:p w14:paraId="0E5F597F">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87" w:name="_Ref4426641"/>
      <w:bookmarkEnd w:id="1287"/>
      <w:bookmarkStart w:id="1288" w:name="_Ref531952211"/>
      <w:r>
        <w:rPr>
          <w:rFonts w:hint="eastAsia" w:ascii="宋体" w:hAnsi="宋体" w:cs="宋体"/>
          <w:color w:val="auto"/>
          <w:szCs w:val="21"/>
          <w:highlight w:val="none"/>
          <w:lang w:bidi="ar"/>
        </w:rPr>
        <w:t>4</w:t>
      </w:r>
      <w:bookmarkEnd w:id="1288"/>
      <w:r>
        <w:rPr>
          <w:rFonts w:hint="eastAsia" w:ascii="宋体" w:hAnsi="宋体" w:cs="宋体"/>
          <w:color w:val="auto"/>
          <w:szCs w:val="21"/>
          <w:highlight w:val="none"/>
          <w:lang w:bidi="ar"/>
        </w:rPr>
        <w:t>.4.2关键人员更换</w:t>
      </w:r>
    </w:p>
    <w:p w14:paraId="1674EAB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138467C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10A3AA80">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289" w:name="_Ref531952227"/>
      <w:bookmarkEnd w:id="1289"/>
      <w:r>
        <w:rPr>
          <w:rFonts w:hint="eastAsia" w:ascii="宋体" w:hAnsi="宋体" w:cs="宋体"/>
          <w:color w:val="auto"/>
          <w:szCs w:val="21"/>
          <w:highlight w:val="none"/>
          <w:lang w:bidi="ar"/>
        </w:rPr>
        <w:t>4.4.3现场管理关键人员在岗要求</w:t>
      </w:r>
    </w:p>
    <w:p w14:paraId="7C1AF59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2613C969">
      <w:pPr>
        <w:widowControl/>
        <w:wordWrap w:val="0"/>
        <w:topLinePunct/>
        <w:adjustRightInd w:val="0"/>
        <w:snapToGrid w:val="0"/>
        <w:spacing w:after="163" w:afterLines="50" w:line="360" w:lineRule="auto"/>
        <w:outlineLvl w:val="2"/>
        <w:rPr>
          <w:rFonts w:ascii="宋体" w:hAnsi="宋体" w:cs="宋体"/>
          <w:color w:val="auto"/>
          <w:highlight w:val="none"/>
        </w:rPr>
      </w:pPr>
      <w:bookmarkStart w:id="1290" w:name="_Ref531952259"/>
      <w:bookmarkEnd w:id="1290"/>
      <w:bookmarkStart w:id="1291" w:name="_Toc20171757"/>
      <w:bookmarkEnd w:id="1291"/>
      <w:bookmarkStart w:id="1292" w:name="_Ref531952262"/>
      <w:bookmarkStart w:id="1293" w:name="_Toc2458"/>
      <w:bookmarkStart w:id="1294" w:name="_Toc10624"/>
      <w:bookmarkStart w:id="1295" w:name="_Toc84930746"/>
      <w:bookmarkStart w:id="1296" w:name="_Toc20134"/>
      <w:bookmarkStart w:id="1297" w:name="_Toc170932477"/>
      <w:bookmarkStart w:id="1298" w:name="_Toc58860196"/>
      <w:bookmarkStart w:id="1299" w:name="_Toc51766609"/>
      <w:bookmarkStart w:id="1300" w:name="_Toc26027"/>
      <w:r>
        <w:rPr>
          <w:rFonts w:hint="eastAsia" w:ascii="宋体" w:hAnsi="宋体" w:cs="宋体"/>
          <w:color w:val="auto"/>
          <w:szCs w:val="21"/>
          <w:highlight w:val="none"/>
          <w:lang w:bidi="ar"/>
        </w:rPr>
        <w:t>4</w:t>
      </w:r>
      <w:bookmarkEnd w:id="1292"/>
      <w:r>
        <w:rPr>
          <w:rFonts w:hint="eastAsia" w:ascii="宋体" w:hAnsi="宋体" w:cs="宋体"/>
          <w:color w:val="auto"/>
          <w:szCs w:val="21"/>
          <w:highlight w:val="none"/>
          <w:lang w:bidi="ar"/>
        </w:rPr>
        <w:t>.5  分包</w:t>
      </w:r>
      <w:bookmarkEnd w:id="1293"/>
      <w:bookmarkEnd w:id="1294"/>
      <w:bookmarkEnd w:id="1295"/>
      <w:bookmarkEnd w:id="1296"/>
      <w:bookmarkEnd w:id="1297"/>
      <w:bookmarkEnd w:id="1298"/>
      <w:bookmarkEnd w:id="1299"/>
      <w:bookmarkEnd w:id="1300"/>
      <w:r>
        <w:rPr>
          <w:rFonts w:hint="eastAsia" w:ascii="宋体" w:hAnsi="宋体" w:cs="宋体"/>
          <w:color w:val="auto"/>
          <w:szCs w:val="21"/>
          <w:highlight w:val="none"/>
          <w:lang w:bidi="ar"/>
        </w:rPr>
        <w:t xml:space="preserve"> </w:t>
      </w:r>
    </w:p>
    <w:p w14:paraId="096B0A3B">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301" w:name="_Ref531952273"/>
      <w:bookmarkEnd w:id="1301"/>
      <w:r>
        <w:rPr>
          <w:rFonts w:hint="eastAsia" w:ascii="宋体" w:hAnsi="宋体" w:cs="宋体"/>
          <w:color w:val="auto"/>
          <w:szCs w:val="21"/>
          <w:highlight w:val="none"/>
          <w:lang w:bidi="ar"/>
        </w:rPr>
        <w:t>4.5.1一般约定</w:t>
      </w:r>
    </w:p>
    <w:p w14:paraId="1892913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不得将其承包的全部工程转包给第三人，或将其承包的全部工程肢解后以分包的名义转包给第三人。承包人不得将法律或专用合同条件中禁止分包的工作事项分包给第三人，不得以劳务分包的名义转包或违法分包工程。</w:t>
      </w:r>
    </w:p>
    <w:p w14:paraId="7DFB1CDA">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302" w:name="_Ref531952286"/>
      <w:bookmarkEnd w:id="1302"/>
      <w:r>
        <w:rPr>
          <w:rFonts w:hint="eastAsia" w:ascii="宋体" w:hAnsi="宋体" w:cs="宋体"/>
          <w:color w:val="auto"/>
          <w:szCs w:val="21"/>
          <w:highlight w:val="none"/>
          <w:lang w:bidi="ar"/>
        </w:rPr>
        <w:t>4.5.2分包的确定</w:t>
      </w:r>
    </w:p>
    <w:p w14:paraId="2E055EE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承包人应按照专用合同条件约定对工作事项进行分包，确定分包人。</w:t>
      </w:r>
    </w:p>
    <w:p w14:paraId="659513F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5D690811">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4.5.3分包人资质</w:t>
      </w:r>
    </w:p>
    <w:p w14:paraId="26C95C0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分包人应符合国家法律规定的资质等级，否则不能作为分包人。承包人有义务对分包人的资质进行审查。</w:t>
      </w:r>
    </w:p>
    <w:p w14:paraId="1A0C9ED8">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4.5.4分包管理</w:t>
      </w:r>
    </w:p>
    <w:p w14:paraId="04D30E7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2B066F04">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303" w:name="_Ref531952298"/>
      <w:bookmarkEnd w:id="1303"/>
      <w:r>
        <w:rPr>
          <w:rFonts w:hint="eastAsia" w:ascii="宋体" w:hAnsi="宋体" w:cs="宋体"/>
          <w:color w:val="auto"/>
          <w:szCs w:val="21"/>
          <w:highlight w:val="none"/>
          <w:lang w:bidi="ar"/>
        </w:rPr>
        <w:t>4.5.5分包合同价款支付</w:t>
      </w:r>
    </w:p>
    <w:p w14:paraId="66423E4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（1）除本项第（2）目约定的情况或专用合同条件另有约定外，分包合同价款由承包人与分包人结算，未经承包人同意，发包人不得向分包人支付分包合同价款；</w:t>
      </w:r>
    </w:p>
    <w:p w14:paraId="476C952C">
      <w:pPr>
        <w:widowControl/>
        <w:adjustRightInd w:val="0"/>
        <w:snapToGrid w:val="0"/>
        <w:spacing w:after="163" w:afterLines="50" w:line="360" w:lineRule="auto"/>
        <w:ind w:firstLine="420" w:firstLineChars="200"/>
        <w:rPr>
          <w:rFonts w:ascii="宋体" w:hAnsi="宋体" w:cs="宋体"/>
          <w:color w:val="auto"/>
          <w:kern w:val="0"/>
          <w:highlight w:val="none"/>
        </w:rPr>
      </w:pPr>
      <w:bookmarkStart w:id="1304" w:name="_Ref4613798"/>
      <w:bookmarkEnd w:id="1304"/>
      <w:r>
        <w:rPr>
          <w:rFonts w:hint="eastAsia" w:ascii="宋体" w:hAnsi="宋体" w:cs="宋体"/>
          <w:color w:val="auto"/>
          <w:kern w:val="0"/>
          <w:szCs w:val="21"/>
          <w:highlight w:val="none"/>
          <w:lang w:bidi="ar"/>
        </w:rPr>
        <w:t>（2）生效法律文书要求发包人向分包人支付分包合同价款的，发包人有权从应付承包人工程款中扣除该部分款项，将扣款直接支付给分包人，并书面通知承包人。</w:t>
      </w:r>
    </w:p>
    <w:p w14:paraId="2D5FE9B2">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4.5.6责任承担</w:t>
      </w:r>
    </w:p>
    <w:p w14:paraId="033237B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承包人对分包人的行为向发包人负责，承包人和分包人就分包工作向发包人承担连带责任。</w:t>
      </w:r>
    </w:p>
    <w:p w14:paraId="43F1D929">
      <w:pPr>
        <w:widowControl/>
        <w:wordWrap w:val="0"/>
        <w:topLinePunct/>
        <w:adjustRightInd w:val="0"/>
        <w:snapToGrid w:val="0"/>
        <w:spacing w:after="163" w:afterLines="50" w:line="360" w:lineRule="auto"/>
        <w:outlineLvl w:val="2"/>
        <w:rPr>
          <w:rFonts w:ascii="宋体" w:hAnsi="宋体" w:cs="宋体"/>
          <w:color w:val="auto"/>
          <w:highlight w:val="none"/>
        </w:rPr>
      </w:pPr>
      <w:bookmarkStart w:id="1305" w:name="_Ref531952317"/>
      <w:bookmarkEnd w:id="1305"/>
      <w:bookmarkStart w:id="1306" w:name="_Toc20171758"/>
      <w:bookmarkEnd w:id="1306"/>
      <w:bookmarkStart w:id="1307" w:name="_Ref4426916"/>
      <w:bookmarkEnd w:id="1307"/>
      <w:bookmarkStart w:id="1308" w:name="_Ref4768805"/>
      <w:bookmarkEnd w:id="1308"/>
      <w:bookmarkStart w:id="1309" w:name="_Ref531952321"/>
      <w:bookmarkStart w:id="1310" w:name="_Toc26658"/>
      <w:bookmarkStart w:id="1311" w:name="_Toc29921"/>
      <w:bookmarkStart w:id="1312" w:name="_Toc51766610"/>
      <w:bookmarkStart w:id="1313" w:name="_Toc84930747"/>
      <w:bookmarkStart w:id="1314" w:name="_Toc170932478"/>
      <w:bookmarkStart w:id="1315" w:name="_Toc28420"/>
      <w:bookmarkStart w:id="1316" w:name="_Toc58860197"/>
      <w:bookmarkStart w:id="1317" w:name="_Toc30071"/>
      <w:r>
        <w:rPr>
          <w:rFonts w:hint="eastAsia" w:ascii="宋体" w:hAnsi="宋体" w:cs="宋体"/>
          <w:color w:val="auto"/>
          <w:szCs w:val="21"/>
          <w:highlight w:val="none"/>
          <w:lang w:bidi="ar"/>
        </w:rPr>
        <w:t>4</w:t>
      </w:r>
      <w:bookmarkEnd w:id="1309"/>
      <w:r>
        <w:rPr>
          <w:rFonts w:hint="eastAsia" w:ascii="宋体" w:hAnsi="宋体" w:cs="宋体"/>
          <w:color w:val="auto"/>
          <w:szCs w:val="21"/>
          <w:highlight w:val="none"/>
          <w:lang w:bidi="ar"/>
        </w:rPr>
        <w:t>.6  联合体</w:t>
      </w:r>
      <w:bookmarkEnd w:id="1310"/>
      <w:bookmarkEnd w:id="1311"/>
      <w:bookmarkEnd w:id="1312"/>
      <w:bookmarkEnd w:id="1313"/>
      <w:bookmarkEnd w:id="1314"/>
      <w:bookmarkEnd w:id="1315"/>
      <w:bookmarkEnd w:id="1316"/>
      <w:bookmarkEnd w:id="1317"/>
    </w:p>
    <w:p w14:paraId="2243E471">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318" w:name="_Hlk16235129"/>
      <w:bookmarkEnd w:id="1318"/>
      <w:r>
        <w:rPr>
          <w:rFonts w:hint="eastAsia" w:ascii="宋体" w:hAnsi="宋体" w:cs="宋体"/>
          <w:color w:val="auto"/>
          <w:szCs w:val="21"/>
          <w:highlight w:val="none"/>
          <w:lang w:bidi="ar"/>
        </w:rPr>
        <w:t>4.6.1经发包人同意，以联合体方式承包工程的，联合体各方应共同与发包人订立合同协议书。联合体各方应为履行合同向发包人承担连带责任。</w:t>
      </w:r>
    </w:p>
    <w:p w14:paraId="43BA20ED">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4.6.2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49617524">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4.6.3联合体协议经发包人确认后作为合同附件。在履行合同过程中，未经发包人同意，不得变更联合体成员和其负责的工作范围，或者修改联合体协议中与本合同履行相关的内容。</w:t>
      </w:r>
    </w:p>
    <w:p w14:paraId="6066B019">
      <w:pPr>
        <w:widowControl/>
        <w:wordWrap w:val="0"/>
        <w:topLinePunct/>
        <w:adjustRightInd w:val="0"/>
        <w:snapToGrid w:val="0"/>
        <w:spacing w:after="163" w:afterLines="50" w:line="360" w:lineRule="auto"/>
        <w:outlineLvl w:val="2"/>
        <w:rPr>
          <w:rFonts w:ascii="宋体" w:hAnsi="宋体" w:cs="宋体"/>
          <w:color w:val="auto"/>
          <w:highlight w:val="none"/>
        </w:rPr>
      </w:pPr>
      <w:bookmarkStart w:id="1319" w:name="_Ref11926629"/>
      <w:bookmarkEnd w:id="1319"/>
      <w:bookmarkStart w:id="1320" w:name="_Ref11926631"/>
      <w:bookmarkEnd w:id="1320"/>
      <w:bookmarkStart w:id="1321" w:name="_Toc20171759"/>
      <w:bookmarkStart w:id="1322" w:name="_Toc58860198"/>
      <w:bookmarkStart w:id="1323" w:name="_Toc84930748"/>
      <w:bookmarkStart w:id="1324" w:name="_Toc29560"/>
      <w:bookmarkStart w:id="1325" w:name="_Toc8298"/>
      <w:bookmarkStart w:id="1326" w:name="_Toc3481"/>
      <w:bookmarkStart w:id="1327" w:name="_Toc170932479"/>
      <w:bookmarkStart w:id="1328" w:name="_Toc16286"/>
      <w:bookmarkStart w:id="1329" w:name="_Toc51766611"/>
      <w:r>
        <w:rPr>
          <w:rFonts w:hint="eastAsia" w:ascii="宋体" w:hAnsi="宋体" w:cs="宋体"/>
          <w:color w:val="auto"/>
          <w:szCs w:val="21"/>
          <w:highlight w:val="none"/>
          <w:lang w:bidi="ar"/>
        </w:rPr>
        <w:t>4</w:t>
      </w:r>
      <w:bookmarkEnd w:id="1321"/>
      <w:r>
        <w:rPr>
          <w:rFonts w:hint="eastAsia" w:ascii="宋体" w:hAnsi="宋体" w:cs="宋体"/>
          <w:color w:val="auto"/>
          <w:szCs w:val="21"/>
          <w:highlight w:val="none"/>
          <w:lang w:bidi="ar"/>
        </w:rPr>
        <w:t>.7  承包人现场查勘</w:t>
      </w:r>
      <w:bookmarkEnd w:id="1322"/>
      <w:bookmarkEnd w:id="1323"/>
      <w:bookmarkEnd w:id="1324"/>
      <w:bookmarkEnd w:id="1325"/>
      <w:bookmarkEnd w:id="1326"/>
      <w:bookmarkEnd w:id="1327"/>
      <w:bookmarkEnd w:id="1328"/>
      <w:bookmarkEnd w:id="1329"/>
    </w:p>
    <w:p w14:paraId="63FDE37D">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4.7.1除专用合同条件另有约定外，承包人应对基于发包人提交的基础资料所做出的解释和推断负责，因基础资料存在错误、遗漏导致承包人解释或推断失实的，按照第2.3款[提供基础资料]的规定承担责任。承包人发现基础资料中存在明显错误或疏忽的，应及时书面通知发包人。</w:t>
      </w:r>
    </w:p>
    <w:p w14:paraId="2F898489">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4.7.2承包人应对现场和工程实施条件进行查勘，并充分了解工程所在地的气象条件、交通条件、风俗习惯以及其他与完成合同工作有关的其他资料。承包人提交比选申请文件，视为承包人已对施工现场及周围环境进行了踏勘，并已充分了解评估施工现场及周围环境对工程可能产生的影响，自愿承担相应风险与责任。在全部合同工作中，视为承包人已充分估计了应承担的责任和风险，但属于第</w:t>
      </w:r>
      <w:r>
        <w:rPr>
          <w:rFonts w:ascii="宋体" w:hAnsi="宋体" w:cs="宋体"/>
          <w:color w:val="auto"/>
          <w:szCs w:val="21"/>
          <w:highlight w:val="none"/>
          <w:lang w:bidi="ar"/>
        </w:rPr>
        <w:t>4.8</w:t>
      </w:r>
      <w:r>
        <w:rPr>
          <w:rFonts w:hint="eastAsia" w:ascii="宋体" w:hAnsi="宋体" w:cs="宋体"/>
          <w:color w:val="auto"/>
          <w:szCs w:val="21"/>
          <w:highlight w:val="none"/>
          <w:lang w:bidi="ar"/>
        </w:rPr>
        <w:t>款</w:t>
      </w:r>
      <w:r>
        <w:rPr>
          <w:rFonts w:ascii="宋体" w:hAnsi="宋体" w:cs="宋体"/>
          <w:color w:val="auto"/>
          <w:szCs w:val="21"/>
          <w:highlight w:val="none"/>
          <w:lang w:bidi="ar"/>
        </w:rPr>
        <w:t>[</w:t>
      </w:r>
      <w:r>
        <w:rPr>
          <w:rFonts w:hint="eastAsia" w:ascii="宋体" w:hAnsi="宋体" w:cs="宋体"/>
          <w:color w:val="auto"/>
          <w:szCs w:val="21"/>
          <w:highlight w:val="none"/>
          <w:lang w:bidi="ar"/>
        </w:rPr>
        <w:t>不可预见的困难</w:t>
      </w:r>
      <w:r>
        <w:rPr>
          <w:rFonts w:ascii="宋体" w:hAnsi="宋体" w:cs="宋体"/>
          <w:color w:val="auto"/>
          <w:szCs w:val="21"/>
          <w:highlight w:val="none"/>
          <w:lang w:bidi="ar"/>
        </w:rPr>
        <w:t>]约定的情形除外</w:t>
      </w:r>
      <w:r>
        <w:rPr>
          <w:rFonts w:hint="eastAsia" w:ascii="宋体" w:hAnsi="宋体" w:cs="宋体"/>
          <w:color w:val="auto"/>
          <w:szCs w:val="21"/>
          <w:highlight w:val="none"/>
          <w:lang w:bidi="ar"/>
        </w:rPr>
        <w:t>。</w:t>
      </w:r>
    </w:p>
    <w:p w14:paraId="4CF41596">
      <w:pPr>
        <w:widowControl/>
        <w:wordWrap w:val="0"/>
        <w:topLinePunct/>
        <w:adjustRightInd w:val="0"/>
        <w:snapToGrid w:val="0"/>
        <w:spacing w:after="163" w:afterLines="50" w:line="360" w:lineRule="auto"/>
        <w:outlineLvl w:val="2"/>
        <w:rPr>
          <w:rFonts w:ascii="宋体" w:hAnsi="宋体" w:cs="宋体"/>
          <w:color w:val="auto"/>
          <w:highlight w:val="none"/>
        </w:rPr>
      </w:pPr>
      <w:bookmarkStart w:id="1330" w:name="_Ref11918789"/>
      <w:bookmarkEnd w:id="1330"/>
      <w:bookmarkStart w:id="1331" w:name="_Toc20171760"/>
      <w:bookmarkEnd w:id="1331"/>
      <w:bookmarkStart w:id="1332" w:name="_Ref11918626"/>
      <w:bookmarkEnd w:id="1332"/>
      <w:bookmarkStart w:id="1333" w:name="_Ref11918693"/>
      <w:bookmarkStart w:id="1334" w:name="_Toc51766612"/>
      <w:bookmarkStart w:id="1335" w:name="_Toc170932480"/>
      <w:bookmarkStart w:id="1336" w:name="_Toc20491"/>
      <w:bookmarkStart w:id="1337" w:name="_Toc30074"/>
      <w:bookmarkStart w:id="1338" w:name="_Toc26110"/>
      <w:bookmarkStart w:id="1339" w:name="_Toc58860199"/>
      <w:bookmarkStart w:id="1340" w:name="_Toc29520"/>
      <w:bookmarkStart w:id="1341" w:name="_Toc84930749"/>
      <w:r>
        <w:rPr>
          <w:rFonts w:hint="eastAsia" w:ascii="宋体" w:hAnsi="宋体" w:cs="宋体"/>
          <w:color w:val="auto"/>
          <w:szCs w:val="21"/>
          <w:highlight w:val="none"/>
          <w:lang w:bidi="ar"/>
        </w:rPr>
        <w:t>4</w:t>
      </w:r>
      <w:bookmarkEnd w:id="1333"/>
      <w:r>
        <w:rPr>
          <w:rFonts w:hint="eastAsia" w:ascii="宋体" w:hAnsi="宋体" w:cs="宋体"/>
          <w:color w:val="auto"/>
          <w:szCs w:val="21"/>
          <w:highlight w:val="none"/>
          <w:lang w:bidi="ar"/>
        </w:rPr>
        <w:t>.8  不可预见的困难</w:t>
      </w:r>
      <w:bookmarkEnd w:id="1334"/>
      <w:bookmarkEnd w:id="1335"/>
      <w:bookmarkEnd w:id="1336"/>
      <w:bookmarkEnd w:id="1337"/>
      <w:bookmarkEnd w:id="1338"/>
      <w:bookmarkEnd w:id="1339"/>
      <w:bookmarkEnd w:id="1340"/>
      <w:bookmarkEnd w:id="1341"/>
      <w:r>
        <w:rPr>
          <w:rFonts w:hint="eastAsia" w:ascii="宋体" w:hAnsi="宋体" w:cs="宋体"/>
          <w:color w:val="auto"/>
          <w:szCs w:val="21"/>
          <w:highlight w:val="none"/>
          <w:lang w:bidi="ar"/>
        </w:rPr>
        <w:t xml:space="preserve"> </w:t>
      </w:r>
    </w:p>
    <w:p w14:paraId="0AB3B70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390D95F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17AA7CF2">
      <w:pPr>
        <w:widowControl/>
        <w:wordWrap w:val="0"/>
        <w:topLinePunct/>
        <w:adjustRightInd w:val="0"/>
        <w:snapToGrid w:val="0"/>
        <w:spacing w:after="163" w:afterLines="50" w:line="360" w:lineRule="auto"/>
        <w:outlineLvl w:val="2"/>
        <w:rPr>
          <w:rFonts w:ascii="宋体" w:hAnsi="宋体" w:cs="宋体"/>
          <w:color w:val="auto"/>
          <w:highlight w:val="none"/>
        </w:rPr>
      </w:pPr>
      <w:bookmarkStart w:id="1342" w:name="_Ref11926570"/>
      <w:bookmarkEnd w:id="1342"/>
      <w:bookmarkStart w:id="1343" w:name="_Toc20171761"/>
      <w:bookmarkEnd w:id="1343"/>
      <w:bookmarkStart w:id="1344" w:name="_Ref11926566"/>
      <w:bookmarkStart w:id="1345" w:name="_Toc51766613"/>
      <w:bookmarkStart w:id="1346" w:name="_Toc84930750"/>
      <w:bookmarkStart w:id="1347" w:name="_Toc13299"/>
      <w:bookmarkStart w:id="1348" w:name="_Toc27840"/>
      <w:bookmarkStart w:id="1349" w:name="_Toc31648"/>
      <w:bookmarkStart w:id="1350" w:name="_Toc170932481"/>
      <w:bookmarkStart w:id="1351" w:name="_Toc58860200"/>
      <w:bookmarkStart w:id="1352" w:name="_Toc427"/>
      <w:r>
        <w:rPr>
          <w:rFonts w:hint="eastAsia" w:ascii="宋体" w:hAnsi="宋体" w:cs="宋体"/>
          <w:color w:val="auto"/>
          <w:szCs w:val="21"/>
          <w:highlight w:val="none"/>
          <w:lang w:bidi="ar"/>
        </w:rPr>
        <w:t>4</w:t>
      </w:r>
      <w:bookmarkEnd w:id="1344"/>
      <w:r>
        <w:rPr>
          <w:rFonts w:hint="eastAsia" w:ascii="宋体" w:hAnsi="宋体" w:cs="宋体"/>
          <w:color w:val="auto"/>
          <w:szCs w:val="21"/>
          <w:highlight w:val="none"/>
          <w:lang w:bidi="ar"/>
        </w:rPr>
        <w:t>.9  工程质量管理</w:t>
      </w:r>
      <w:bookmarkEnd w:id="1345"/>
      <w:bookmarkEnd w:id="1346"/>
      <w:bookmarkEnd w:id="1347"/>
      <w:bookmarkEnd w:id="1348"/>
      <w:bookmarkEnd w:id="1349"/>
      <w:bookmarkEnd w:id="1350"/>
      <w:bookmarkEnd w:id="1351"/>
      <w:bookmarkEnd w:id="1352"/>
    </w:p>
    <w:p w14:paraId="56066FFC">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4.9.1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19EF2577">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4.9.2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3719964D">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4.9.3承包人应对其人员进行质量教育和技术培训，定期考核人员的劳动技能，严格执行相关规范和操作规程。</w:t>
      </w:r>
    </w:p>
    <w:p w14:paraId="6C5687E7">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4.9.4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699A6A92">
      <w:pPr>
        <w:widowControl/>
        <w:wordWrap w:val="0"/>
        <w:topLinePunct/>
        <w:adjustRightInd w:val="0"/>
        <w:snapToGrid w:val="0"/>
        <w:spacing w:after="163" w:afterLines="50" w:line="360" w:lineRule="auto"/>
        <w:outlineLvl w:val="2"/>
        <w:rPr>
          <w:rFonts w:ascii="宋体" w:hAnsi="宋体" w:cs="宋体"/>
          <w:color w:val="auto"/>
          <w:highlight w:val="none"/>
        </w:rPr>
      </w:pPr>
      <w:bookmarkStart w:id="1353" w:name="_Ref531953051"/>
      <w:bookmarkEnd w:id="1353"/>
      <w:bookmarkStart w:id="1354" w:name="_Toc20171764"/>
      <w:bookmarkEnd w:id="1354"/>
      <w:bookmarkStart w:id="1355" w:name="_Ref531952837"/>
      <w:bookmarkEnd w:id="1355"/>
      <w:bookmarkStart w:id="1356" w:name="_Ref531953054"/>
      <w:bookmarkStart w:id="1357" w:name="_Toc13283"/>
      <w:bookmarkStart w:id="1358" w:name="_Toc51766616"/>
      <w:bookmarkStart w:id="1359" w:name="_Toc6911"/>
      <w:bookmarkStart w:id="1360" w:name="_Toc84930753"/>
      <w:bookmarkStart w:id="1361" w:name="_Toc27522"/>
      <w:bookmarkStart w:id="1362" w:name="_Toc24823"/>
      <w:bookmarkStart w:id="1363" w:name="_Toc170932484"/>
      <w:bookmarkStart w:id="1364" w:name="_Toc58860203"/>
      <w:r>
        <w:rPr>
          <w:rFonts w:hint="eastAsia" w:ascii="宋体" w:hAnsi="宋体" w:cs="宋体"/>
          <w:color w:val="auto"/>
          <w:szCs w:val="21"/>
          <w:highlight w:val="none"/>
          <w:lang w:bidi="ar"/>
        </w:rPr>
        <w:t>5</w:t>
      </w:r>
      <w:bookmarkEnd w:id="1356"/>
      <w:r>
        <w:rPr>
          <w:rFonts w:hint="eastAsia" w:ascii="宋体" w:hAnsi="宋体" w:cs="宋体"/>
          <w:color w:val="auto"/>
          <w:szCs w:val="21"/>
          <w:highlight w:val="none"/>
          <w:lang w:bidi="ar"/>
        </w:rPr>
        <w:t>.2  承包人文件审查</w:t>
      </w:r>
      <w:bookmarkEnd w:id="1357"/>
      <w:bookmarkEnd w:id="1358"/>
      <w:bookmarkEnd w:id="1359"/>
      <w:bookmarkEnd w:id="1360"/>
      <w:bookmarkEnd w:id="1361"/>
      <w:bookmarkEnd w:id="1362"/>
      <w:bookmarkEnd w:id="1363"/>
      <w:bookmarkEnd w:id="1364"/>
      <w:r>
        <w:rPr>
          <w:rFonts w:hint="eastAsia" w:ascii="宋体" w:hAnsi="宋体" w:cs="宋体"/>
          <w:color w:val="auto"/>
          <w:szCs w:val="21"/>
          <w:highlight w:val="none"/>
          <w:lang w:bidi="ar"/>
        </w:rPr>
        <w:t xml:space="preserve"> </w:t>
      </w:r>
    </w:p>
    <w:p w14:paraId="6776434C">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365" w:name="_Ref531953064"/>
      <w:bookmarkEnd w:id="1365"/>
      <w:r>
        <w:rPr>
          <w:rFonts w:hint="eastAsia" w:ascii="宋体" w:hAnsi="宋体" w:cs="宋体"/>
          <w:color w:val="auto"/>
          <w:szCs w:val="21"/>
          <w:highlight w:val="none"/>
          <w:lang w:bidi="ar"/>
        </w:rPr>
        <w:t>5.2.1根据《发包人要求》应当通过工程师报发包人审查同意的承包人文件，承包人应当按照《发包人要求》约定的范围和内容及时报送审查。</w:t>
      </w:r>
    </w:p>
    <w:p w14:paraId="26837E2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36538E9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发包人同意承包人文件的，应及时通知承包人，发包人不同意承包人文件的，应在审查期限内通过工程师以书面形式通知承包人，并说明不同意的具体内容和理由。</w:t>
      </w:r>
    </w:p>
    <w:p w14:paraId="5B0369A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承包人对发包人的意见按以下方式处理：</w:t>
      </w:r>
    </w:p>
    <w:p w14:paraId="72CF3FC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（1）发包人的意见构成变更的，承包人应在7天内通知发包人按照第13条[变更与调整]中关于发包人指示变更的约定执行，双方对是否构成变更无法达成一致的，按照第20条[争议解决]的约定执行；</w:t>
      </w:r>
    </w:p>
    <w:p w14:paraId="5CEAD77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（2）因承包人原因导致无法通过审查的，承包人应根据发包人的书面说明，对承包人文件进行修改后重新报送发包人审查，审查期重新起算。因此引起的工期延长和必要的工程费用增加，由承包人负责。</w:t>
      </w:r>
    </w:p>
    <w:p w14:paraId="0F3FAE2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合同约定的审查期满，发包人没有做出审查结论也没有提出异议的，视为承包人文件已获发包人同意。</w:t>
      </w:r>
    </w:p>
    <w:p w14:paraId="0F0B33C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发包人对承包人文件的审查和同意不得被理解为对合同的修改或改变，也并不减轻或免除承包人任何的责任和义务。</w:t>
      </w:r>
    </w:p>
    <w:p w14:paraId="5FE464F7">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5.2.2承包人文件不需要政府有关部门或专用合同条件约定的第三方审查单位审查或批准的，承包人应当严格按照经发包人审查同意的承包人文件设计和实施工程。</w:t>
      </w:r>
    </w:p>
    <w:p w14:paraId="7AE5B88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5A4FB0B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发包人有义务向承包人提供审查会议的批准文件和纪要。承包人有义务按照相关审查会议批准的文件和纪要，并依据合同约定及相关技术标准，对承包人文件进行修改、补充和完善。</w:t>
      </w:r>
    </w:p>
    <w:p w14:paraId="41F9619D">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366" w:name="_Ref531953074"/>
      <w:bookmarkEnd w:id="1366"/>
      <w:r>
        <w:rPr>
          <w:rFonts w:hint="eastAsia" w:ascii="宋体" w:hAnsi="宋体" w:cs="宋体"/>
          <w:color w:val="auto"/>
          <w:szCs w:val="21"/>
          <w:highlight w:val="none"/>
          <w:lang w:bidi="ar"/>
        </w:rPr>
        <w:t>5.2.3承包人文件需政府有关部门或专用合同条件约定的第三方审查单位审查或批准的，发包人应在发包人审查同意承包人文件后7天内，向政府有关部门或第三方报送承包人文件，承包人应予以协助。</w:t>
      </w:r>
    </w:p>
    <w:p w14:paraId="0ACC44F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53E97D0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7B90A73D">
      <w:pPr>
        <w:widowControl/>
        <w:wordWrap w:val="0"/>
        <w:topLinePunct/>
        <w:adjustRightInd w:val="0"/>
        <w:snapToGrid w:val="0"/>
        <w:spacing w:after="163" w:afterLines="50" w:line="360" w:lineRule="auto"/>
        <w:outlineLvl w:val="2"/>
        <w:rPr>
          <w:rFonts w:ascii="宋体" w:hAnsi="宋体" w:cs="宋体"/>
          <w:color w:val="auto"/>
          <w:highlight w:val="none"/>
        </w:rPr>
      </w:pPr>
      <w:bookmarkStart w:id="1367" w:name="_Toc20171765"/>
      <w:bookmarkEnd w:id="1367"/>
      <w:bookmarkStart w:id="1368" w:name="_Ref531953095"/>
      <w:bookmarkEnd w:id="1368"/>
      <w:bookmarkStart w:id="1369" w:name="_Ref531953097"/>
      <w:bookmarkStart w:id="1370" w:name="_Toc19666"/>
      <w:bookmarkStart w:id="1371" w:name="_Toc170932485"/>
      <w:bookmarkStart w:id="1372" w:name="_Toc51766617"/>
      <w:bookmarkStart w:id="1373" w:name="_Toc58860204"/>
      <w:bookmarkStart w:id="1374" w:name="_Toc12432"/>
      <w:bookmarkStart w:id="1375" w:name="_Toc84930754"/>
      <w:bookmarkStart w:id="1376" w:name="_Toc30886"/>
      <w:bookmarkStart w:id="1377" w:name="_Toc1099"/>
      <w:r>
        <w:rPr>
          <w:rFonts w:hint="eastAsia" w:ascii="宋体" w:hAnsi="宋体" w:cs="宋体"/>
          <w:color w:val="auto"/>
          <w:szCs w:val="21"/>
          <w:highlight w:val="none"/>
          <w:lang w:bidi="ar"/>
        </w:rPr>
        <w:t>5</w:t>
      </w:r>
      <w:bookmarkEnd w:id="1369"/>
      <w:r>
        <w:rPr>
          <w:rFonts w:hint="eastAsia" w:ascii="宋体" w:hAnsi="宋体" w:cs="宋体"/>
          <w:color w:val="auto"/>
          <w:szCs w:val="21"/>
          <w:highlight w:val="none"/>
          <w:lang w:bidi="ar"/>
        </w:rPr>
        <w:t>.3  培训</w:t>
      </w:r>
      <w:bookmarkEnd w:id="1370"/>
      <w:bookmarkEnd w:id="1371"/>
      <w:bookmarkEnd w:id="1372"/>
      <w:bookmarkEnd w:id="1373"/>
      <w:bookmarkEnd w:id="1374"/>
      <w:bookmarkEnd w:id="1375"/>
      <w:bookmarkEnd w:id="1376"/>
      <w:bookmarkEnd w:id="1377"/>
    </w:p>
    <w:p w14:paraId="217CE3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482A274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培训的时长应由双方在专用合同条件中约定，承包人应为培训提供有经验的人员、设施和其它必要条件。</w:t>
      </w:r>
    </w:p>
    <w:p w14:paraId="7CBDD2A8">
      <w:pPr>
        <w:widowControl/>
        <w:wordWrap w:val="0"/>
        <w:topLinePunct/>
        <w:adjustRightInd w:val="0"/>
        <w:snapToGrid w:val="0"/>
        <w:spacing w:after="163" w:afterLines="50" w:line="360" w:lineRule="auto"/>
        <w:outlineLvl w:val="2"/>
        <w:rPr>
          <w:rFonts w:ascii="宋体" w:hAnsi="宋体" w:cs="宋体"/>
          <w:color w:val="auto"/>
          <w:highlight w:val="none"/>
        </w:rPr>
      </w:pPr>
      <w:bookmarkStart w:id="1378" w:name="_Toc20171766"/>
      <w:bookmarkEnd w:id="1378"/>
      <w:bookmarkStart w:id="1379" w:name="_Ref531953105"/>
      <w:bookmarkEnd w:id="1379"/>
      <w:bookmarkStart w:id="1380" w:name="_Ref531953108"/>
      <w:bookmarkStart w:id="1381" w:name="_Toc18656"/>
      <w:bookmarkStart w:id="1382" w:name="_Toc84930755"/>
      <w:bookmarkStart w:id="1383" w:name="_Toc22828"/>
      <w:bookmarkStart w:id="1384" w:name="_Toc58860205"/>
      <w:bookmarkStart w:id="1385" w:name="_Toc31854"/>
      <w:bookmarkStart w:id="1386" w:name="_Toc170932486"/>
      <w:bookmarkStart w:id="1387" w:name="_Toc19506"/>
      <w:bookmarkStart w:id="1388" w:name="_Toc51766618"/>
      <w:r>
        <w:rPr>
          <w:rFonts w:hint="eastAsia" w:ascii="宋体" w:hAnsi="宋体" w:cs="宋体"/>
          <w:color w:val="auto"/>
          <w:szCs w:val="21"/>
          <w:highlight w:val="none"/>
          <w:lang w:bidi="ar"/>
        </w:rPr>
        <w:t>5</w:t>
      </w:r>
      <w:bookmarkEnd w:id="1380"/>
      <w:r>
        <w:rPr>
          <w:rFonts w:hint="eastAsia" w:ascii="宋体" w:hAnsi="宋体" w:cs="宋体"/>
          <w:color w:val="auto"/>
          <w:szCs w:val="21"/>
          <w:highlight w:val="none"/>
          <w:lang w:bidi="ar"/>
        </w:rPr>
        <w:t>.4  竣工文件</w:t>
      </w:r>
      <w:bookmarkEnd w:id="1381"/>
      <w:bookmarkEnd w:id="1382"/>
      <w:bookmarkEnd w:id="1383"/>
      <w:bookmarkEnd w:id="1384"/>
      <w:bookmarkEnd w:id="1385"/>
      <w:bookmarkEnd w:id="1386"/>
      <w:bookmarkEnd w:id="1387"/>
      <w:bookmarkEnd w:id="1388"/>
    </w:p>
    <w:p w14:paraId="61E21969">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389" w:name="_Ref531953134"/>
      <w:bookmarkEnd w:id="1389"/>
      <w:r>
        <w:rPr>
          <w:rFonts w:hint="eastAsia" w:ascii="宋体" w:hAnsi="宋体" w:cs="宋体"/>
          <w:color w:val="auto"/>
          <w:szCs w:val="21"/>
          <w:highlight w:val="none"/>
          <w:lang w:bidi="ar"/>
        </w:rPr>
        <w:t>5.4.1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p>
    <w:p w14:paraId="019E05AA">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5.4.2在颁发工程接收证书之前，承包人应按照《发包人要求》的份数和形式向工程师提交相应竣工图纸，并取得工程师对尺寸、参照系统及其他有关细节的认可。工程师应按照第5.2款[承包人文件审查]的约定进行审查。</w:t>
      </w:r>
    </w:p>
    <w:p w14:paraId="6E9F7BD6">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5.4.3除专用合同条件另有约定外，在工程师收到本款下的文件前，不应认为工程已根据第10.1款[竣工验收]和第10.2款[单位/区段工程的验收]的约定完成验收。</w:t>
      </w:r>
    </w:p>
    <w:p w14:paraId="6A5FFD56">
      <w:pPr>
        <w:widowControl/>
        <w:wordWrap w:val="0"/>
        <w:topLinePunct/>
        <w:adjustRightInd w:val="0"/>
        <w:snapToGrid w:val="0"/>
        <w:spacing w:after="163" w:afterLines="50" w:line="360" w:lineRule="auto"/>
        <w:outlineLvl w:val="2"/>
        <w:rPr>
          <w:rFonts w:ascii="宋体" w:hAnsi="宋体" w:cs="宋体"/>
          <w:color w:val="auto"/>
          <w:highlight w:val="none"/>
        </w:rPr>
      </w:pPr>
      <w:bookmarkStart w:id="1390" w:name="_Ref531953117"/>
      <w:bookmarkEnd w:id="1390"/>
      <w:bookmarkStart w:id="1391" w:name="_Toc20171767"/>
      <w:bookmarkEnd w:id="1391"/>
      <w:bookmarkStart w:id="1392" w:name="_Ref531953119"/>
      <w:bookmarkStart w:id="1393" w:name="_Toc84930756"/>
      <w:bookmarkStart w:id="1394" w:name="_Toc170932487"/>
      <w:bookmarkStart w:id="1395" w:name="_Toc16964"/>
      <w:bookmarkStart w:id="1396" w:name="_Toc8318"/>
      <w:bookmarkStart w:id="1397" w:name="_Toc58860206"/>
      <w:bookmarkStart w:id="1398" w:name="_Toc51766619"/>
      <w:bookmarkStart w:id="1399" w:name="_Toc30445"/>
      <w:bookmarkStart w:id="1400" w:name="_Toc30257"/>
      <w:r>
        <w:rPr>
          <w:rFonts w:hint="eastAsia" w:ascii="宋体" w:hAnsi="宋体" w:cs="宋体"/>
          <w:color w:val="auto"/>
          <w:szCs w:val="21"/>
          <w:highlight w:val="none"/>
          <w:lang w:bidi="ar"/>
        </w:rPr>
        <w:t>5</w:t>
      </w:r>
      <w:bookmarkEnd w:id="1392"/>
      <w:r>
        <w:rPr>
          <w:rFonts w:hint="eastAsia" w:ascii="宋体" w:hAnsi="宋体" w:cs="宋体"/>
          <w:color w:val="auto"/>
          <w:szCs w:val="21"/>
          <w:highlight w:val="none"/>
          <w:lang w:bidi="ar"/>
        </w:rPr>
        <w:t>.5  操作和维修手册</w:t>
      </w:r>
      <w:bookmarkEnd w:id="1393"/>
      <w:bookmarkEnd w:id="1394"/>
      <w:bookmarkEnd w:id="1395"/>
      <w:bookmarkEnd w:id="1396"/>
      <w:bookmarkEnd w:id="1397"/>
      <w:bookmarkEnd w:id="1398"/>
      <w:bookmarkEnd w:id="1399"/>
      <w:bookmarkEnd w:id="1400"/>
      <w:r>
        <w:rPr>
          <w:rFonts w:hint="eastAsia" w:ascii="宋体" w:hAnsi="宋体" w:cs="宋体"/>
          <w:color w:val="auto"/>
          <w:szCs w:val="21"/>
          <w:highlight w:val="none"/>
          <w:lang w:bidi="ar"/>
        </w:rPr>
        <w:t xml:space="preserve"> </w:t>
      </w:r>
    </w:p>
    <w:p w14:paraId="44013972">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401" w:name="_Ref531953145"/>
      <w:bookmarkEnd w:id="1401"/>
      <w:r>
        <w:rPr>
          <w:rFonts w:hint="eastAsia" w:ascii="宋体" w:hAnsi="宋体" w:cs="宋体"/>
          <w:color w:val="auto"/>
          <w:szCs w:val="21"/>
          <w:highlight w:val="none"/>
          <w:lang w:bidi="ar"/>
        </w:rPr>
        <w:t>5</w:t>
      </w:r>
      <w:r>
        <w:rPr>
          <w:rFonts w:ascii="宋体" w:hAnsi="宋体" w:cs="宋体"/>
          <w:color w:val="auto"/>
          <w:szCs w:val="21"/>
          <w:highlight w:val="none"/>
          <w:lang w:bidi="ar"/>
        </w:rPr>
        <w:t>.5.1</w:t>
      </w:r>
      <w:r>
        <w:rPr>
          <w:rFonts w:hint="eastAsia" w:ascii="宋体" w:hAnsi="宋体" w:cs="宋体"/>
          <w:color w:val="auto"/>
          <w:szCs w:val="21"/>
          <w:highlight w:val="none"/>
          <w:lang w:bidi="ar"/>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p>
    <w:p w14:paraId="25C1EA8E">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5</w:t>
      </w:r>
      <w:r>
        <w:rPr>
          <w:rFonts w:ascii="宋体" w:hAnsi="宋体" w:cs="宋体"/>
          <w:color w:val="auto"/>
          <w:szCs w:val="21"/>
          <w:highlight w:val="none"/>
          <w:lang w:bidi="ar"/>
        </w:rPr>
        <w:t>.5.2</w:t>
      </w:r>
      <w:r>
        <w:rPr>
          <w:rFonts w:hint="eastAsia" w:ascii="宋体" w:hAnsi="宋体" w:cs="宋体"/>
          <w:color w:val="auto"/>
          <w:szCs w:val="21"/>
          <w:highlight w:val="none"/>
          <w:lang w:bidi="ar"/>
        </w:rPr>
        <w:t>工程师收到承包人提交的文件后，应依据第5.2款[承包人文件审查]的约定对操作和维修手册进行审查，竣工试验工程中，承包人应为任何因操作和维修手册错误或遗漏引起的风险或损失承担责任。</w:t>
      </w:r>
    </w:p>
    <w:p w14:paraId="0704C8FF">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r>
        <w:rPr>
          <w:rFonts w:hint="eastAsia" w:ascii="宋体" w:hAnsi="宋体" w:cs="宋体"/>
          <w:color w:val="auto"/>
          <w:szCs w:val="21"/>
          <w:highlight w:val="none"/>
          <w:lang w:bidi="ar"/>
        </w:rPr>
        <w:t>5</w:t>
      </w:r>
      <w:r>
        <w:rPr>
          <w:rFonts w:ascii="宋体" w:hAnsi="宋体" w:cs="宋体"/>
          <w:color w:val="auto"/>
          <w:szCs w:val="21"/>
          <w:highlight w:val="none"/>
          <w:lang w:bidi="ar"/>
        </w:rPr>
        <w:t>.5.3</w:t>
      </w:r>
      <w:r>
        <w:rPr>
          <w:rFonts w:hint="eastAsia" w:ascii="宋体" w:hAnsi="宋体" w:cs="宋体"/>
          <w:color w:val="auto"/>
          <w:szCs w:val="21"/>
          <w:highlight w:val="none"/>
          <w:lang w:bidi="ar"/>
        </w:rPr>
        <w:t>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561E756B">
      <w:pPr>
        <w:widowControl/>
        <w:wordWrap w:val="0"/>
        <w:topLinePunct/>
        <w:adjustRightInd w:val="0"/>
        <w:snapToGrid w:val="0"/>
        <w:spacing w:after="163" w:afterLines="50" w:line="360" w:lineRule="auto"/>
        <w:outlineLvl w:val="2"/>
        <w:rPr>
          <w:rFonts w:ascii="宋体" w:hAnsi="宋体" w:cs="宋体"/>
          <w:color w:val="auto"/>
          <w:highlight w:val="none"/>
        </w:rPr>
      </w:pPr>
      <w:bookmarkStart w:id="1402" w:name="_Toc20171768"/>
      <w:bookmarkEnd w:id="1402"/>
      <w:bookmarkStart w:id="1403" w:name="_Toc51766620"/>
      <w:bookmarkStart w:id="1404" w:name="_Toc7276"/>
      <w:bookmarkStart w:id="1405" w:name="_Toc9608"/>
      <w:bookmarkStart w:id="1406" w:name="_Toc58860207"/>
      <w:bookmarkStart w:id="1407" w:name="_Toc84930757"/>
      <w:bookmarkStart w:id="1408" w:name="_Toc18460"/>
      <w:bookmarkStart w:id="1409" w:name="_Toc170932488"/>
      <w:bookmarkStart w:id="1410" w:name="_Toc22894"/>
      <w:r>
        <w:rPr>
          <w:rFonts w:hint="eastAsia" w:ascii="宋体" w:hAnsi="宋体" w:cs="宋体"/>
          <w:color w:val="auto"/>
          <w:szCs w:val="21"/>
          <w:highlight w:val="none"/>
          <w:lang w:bidi="ar"/>
        </w:rPr>
        <w:t>5.6  承包人文件错误</w:t>
      </w:r>
      <w:bookmarkEnd w:id="1403"/>
      <w:bookmarkEnd w:id="1404"/>
      <w:bookmarkEnd w:id="1405"/>
      <w:bookmarkEnd w:id="1406"/>
      <w:bookmarkEnd w:id="1407"/>
      <w:bookmarkEnd w:id="1408"/>
      <w:bookmarkEnd w:id="1409"/>
      <w:bookmarkEnd w:id="1410"/>
      <w:r>
        <w:rPr>
          <w:rFonts w:hint="eastAsia" w:ascii="宋体" w:hAnsi="宋体" w:cs="宋体"/>
          <w:color w:val="auto"/>
          <w:szCs w:val="21"/>
          <w:highlight w:val="none"/>
          <w:lang w:bidi="ar"/>
        </w:rPr>
        <w:t xml:space="preserve"> </w:t>
      </w:r>
    </w:p>
    <w:p w14:paraId="0441E69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7CD36557">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411" w:name="_Toc20171769"/>
      <w:bookmarkEnd w:id="1411"/>
      <w:bookmarkStart w:id="1412" w:name="_Ref531953765"/>
      <w:bookmarkEnd w:id="1412"/>
      <w:bookmarkStart w:id="1413" w:name="_Ref531953761"/>
      <w:bookmarkStart w:id="1414" w:name="_Toc170932489"/>
      <w:bookmarkStart w:id="1415" w:name="_Toc32206"/>
      <w:r>
        <w:rPr>
          <w:rFonts w:hint="eastAsia" w:ascii="宋体" w:hAnsi="宋体" w:cs="宋体"/>
          <w:color w:val="auto"/>
          <w:kern w:val="0"/>
          <w:szCs w:val="21"/>
          <w:highlight w:val="none"/>
          <w:lang w:bidi="ar"/>
        </w:rPr>
        <w:t xml:space="preserve">第6条 </w:t>
      </w:r>
      <w:bookmarkEnd w:id="1413"/>
      <w:r>
        <w:rPr>
          <w:rFonts w:hint="eastAsia" w:ascii="宋体" w:hAnsi="宋体" w:cs="宋体"/>
          <w:color w:val="auto"/>
          <w:kern w:val="0"/>
          <w:szCs w:val="21"/>
          <w:highlight w:val="none"/>
          <w:lang w:bidi="ar"/>
        </w:rPr>
        <w:t xml:space="preserve"> 材料、工程设备</w:t>
      </w:r>
      <w:bookmarkEnd w:id="1414"/>
      <w:bookmarkEnd w:id="1415"/>
    </w:p>
    <w:p w14:paraId="6E5D2AFD">
      <w:pPr>
        <w:widowControl/>
        <w:wordWrap w:val="0"/>
        <w:topLinePunct/>
        <w:adjustRightInd w:val="0"/>
        <w:snapToGrid w:val="0"/>
        <w:spacing w:after="163" w:afterLines="50" w:line="360" w:lineRule="auto"/>
        <w:outlineLvl w:val="2"/>
        <w:rPr>
          <w:rFonts w:ascii="宋体" w:hAnsi="宋体" w:cs="宋体"/>
          <w:color w:val="auto"/>
          <w:highlight w:val="none"/>
        </w:rPr>
      </w:pPr>
      <w:bookmarkStart w:id="1416" w:name="_Toc20171770"/>
      <w:bookmarkEnd w:id="1416"/>
      <w:bookmarkStart w:id="1417" w:name="_Ref531953832"/>
      <w:bookmarkEnd w:id="1417"/>
      <w:bookmarkStart w:id="1418" w:name="_Ref531953828"/>
      <w:bookmarkStart w:id="1419" w:name="_Toc2393"/>
      <w:bookmarkStart w:id="1420" w:name="_Toc51766622"/>
      <w:bookmarkStart w:id="1421" w:name="_Toc84930759"/>
      <w:bookmarkStart w:id="1422" w:name="_Toc19849"/>
      <w:bookmarkStart w:id="1423" w:name="_Toc58860209"/>
      <w:bookmarkStart w:id="1424" w:name="_Toc10480"/>
      <w:bookmarkStart w:id="1425" w:name="_Toc170932490"/>
      <w:bookmarkStart w:id="1426" w:name="_Toc23003"/>
      <w:r>
        <w:rPr>
          <w:rFonts w:hint="eastAsia" w:ascii="宋体" w:hAnsi="宋体" w:cs="宋体"/>
          <w:color w:val="auto"/>
          <w:szCs w:val="21"/>
          <w:highlight w:val="none"/>
          <w:lang w:bidi="ar"/>
        </w:rPr>
        <w:t>6</w:t>
      </w:r>
      <w:bookmarkEnd w:id="1418"/>
      <w:r>
        <w:rPr>
          <w:rFonts w:hint="eastAsia" w:ascii="宋体" w:hAnsi="宋体" w:cs="宋体"/>
          <w:color w:val="auto"/>
          <w:szCs w:val="21"/>
          <w:highlight w:val="none"/>
          <w:lang w:bidi="ar"/>
        </w:rPr>
        <w:t>.1  实施方法</w:t>
      </w:r>
      <w:bookmarkEnd w:id="1419"/>
      <w:bookmarkEnd w:id="1420"/>
      <w:bookmarkEnd w:id="1421"/>
      <w:bookmarkEnd w:id="1422"/>
      <w:bookmarkEnd w:id="1423"/>
      <w:bookmarkEnd w:id="1424"/>
      <w:bookmarkEnd w:id="1425"/>
      <w:bookmarkEnd w:id="1426"/>
      <w:r>
        <w:rPr>
          <w:rFonts w:hint="eastAsia" w:ascii="宋体" w:hAnsi="宋体" w:cs="宋体"/>
          <w:color w:val="auto"/>
          <w:szCs w:val="21"/>
          <w:highlight w:val="none"/>
          <w:lang w:bidi="ar"/>
        </w:rPr>
        <w:t xml:space="preserve"> </w:t>
      </w:r>
    </w:p>
    <w:p w14:paraId="7AEE075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承包人应按以下方法进行材料的加工、工程设备的采购、制造和安装、以及工程的所有其他实施作业：</w:t>
      </w:r>
    </w:p>
    <w:p w14:paraId="473E93FA">
      <w:pPr>
        <w:widowControl/>
        <w:adjustRightInd w:val="0"/>
        <w:snapToGrid w:val="0"/>
        <w:spacing w:after="163" w:afterLines="50" w:line="360" w:lineRule="auto"/>
        <w:ind w:firstLine="420" w:firstLineChars="200"/>
        <w:rPr>
          <w:rFonts w:ascii="宋体" w:hAnsi="宋体" w:cs="宋体"/>
          <w:color w:val="auto"/>
          <w:kern w:val="0"/>
          <w:highlight w:val="none"/>
        </w:rPr>
      </w:pPr>
      <w:bookmarkStart w:id="1427" w:name="_Ref531953847"/>
      <w:bookmarkEnd w:id="1427"/>
      <w:r>
        <w:rPr>
          <w:rFonts w:hint="eastAsia" w:ascii="宋体" w:hAnsi="宋体" w:cs="宋体"/>
          <w:color w:val="auto"/>
          <w:kern w:val="0"/>
          <w:szCs w:val="21"/>
          <w:highlight w:val="none"/>
          <w:lang w:bidi="ar"/>
        </w:rPr>
        <w:t>（1）按照法律规定和合同约定的方法；</w:t>
      </w:r>
    </w:p>
    <w:p w14:paraId="3015EB1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（2）按照公认的良好行业习惯，使用恰当、审慎、先进的方法；</w:t>
      </w:r>
    </w:p>
    <w:p w14:paraId="4A6C50D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（3）除专用合同条件另有规定外，应使用适当配备的实施方法、设备、设施和无危险的材料。</w:t>
      </w:r>
    </w:p>
    <w:p w14:paraId="065410E1">
      <w:pPr>
        <w:widowControl/>
        <w:wordWrap w:val="0"/>
        <w:topLinePunct/>
        <w:adjustRightInd w:val="0"/>
        <w:snapToGrid w:val="0"/>
        <w:spacing w:after="163" w:afterLines="50" w:line="360" w:lineRule="auto"/>
        <w:outlineLvl w:val="2"/>
        <w:rPr>
          <w:rFonts w:ascii="宋体" w:hAnsi="宋体" w:cs="宋体"/>
          <w:color w:val="auto"/>
          <w:highlight w:val="none"/>
        </w:rPr>
      </w:pPr>
      <w:bookmarkStart w:id="1428" w:name="_Ref11926422"/>
      <w:bookmarkEnd w:id="1428"/>
      <w:bookmarkStart w:id="1429" w:name="_Toc20171771"/>
      <w:bookmarkEnd w:id="1429"/>
      <w:bookmarkStart w:id="1430" w:name="_Ref4427594"/>
      <w:bookmarkStart w:id="1431" w:name="_Toc29284"/>
      <w:bookmarkStart w:id="1432" w:name="_Toc84930760"/>
      <w:bookmarkStart w:id="1433" w:name="_Toc1459"/>
      <w:bookmarkStart w:id="1434" w:name="_Toc170932491"/>
      <w:bookmarkStart w:id="1435" w:name="_Toc51766623"/>
      <w:bookmarkStart w:id="1436" w:name="_Toc58860210"/>
      <w:bookmarkStart w:id="1437" w:name="_Toc23364"/>
      <w:bookmarkStart w:id="1438" w:name="_Toc8924"/>
      <w:r>
        <w:rPr>
          <w:rFonts w:hint="eastAsia" w:ascii="宋体" w:hAnsi="宋体" w:cs="宋体"/>
          <w:color w:val="auto"/>
          <w:szCs w:val="21"/>
          <w:highlight w:val="none"/>
          <w:lang w:bidi="ar"/>
        </w:rPr>
        <w:t xml:space="preserve">6.2  </w:t>
      </w:r>
      <w:bookmarkEnd w:id="1430"/>
      <w:r>
        <w:rPr>
          <w:rFonts w:hint="eastAsia" w:ascii="宋体" w:hAnsi="宋体" w:cs="宋体"/>
          <w:color w:val="auto"/>
          <w:szCs w:val="21"/>
          <w:highlight w:val="none"/>
          <w:lang w:bidi="ar"/>
        </w:rPr>
        <w:t>材料和工程设备</w:t>
      </w:r>
      <w:bookmarkEnd w:id="1431"/>
      <w:bookmarkEnd w:id="1432"/>
      <w:bookmarkEnd w:id="1433"/>
      <w:bookmarkEnd w:id="1434"/>
      <w:bookmarkEnd w:id="1435"/>
      <w:bookmarkEnd w:id="1436"/>
      <w:bookmarkEnd w:id="1437"/>
      <w:bookmarkEnd w:id="1438"/>
    </w:p>
    <w:p w14:paraId="45D23F1B">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439" w:name="_Ref11960295"/>
      <w:bookmarkEnd w:id="1439"/>
      <w:r>
        <w:rPr>
          <w:rFonts w:hint="eastAsia" w:ascii="宋体" w:hAnsi="宋体" w:cs="宋体"/>
          <w:color w:val="auto"/>
          <w:szCs w:val="21"/>
          <w:highlight w:val="none"/>
          <w:lang w:bidi="ar"/>
        </w:rPr>
        <w:t>6.2.1发包人提供的材料和工程设备</w:t>
      </w:r>
    </w:p>
    <w:p w14:paraId="144B80B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发包人自行供应材料、工程设备的，应在订立合同时在专用合同条件的附件2《发包人供应材料设备一览表》中明确材料、工程设备的品种、规格、型号、主要参数、数量、单价、质量等级和交接地点等。</w:t>
      </w:r>
    </w:p>
    <w:p w14:paraId="3070591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7B1C988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076F2D0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7C128B1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发包人提供的材料和工程设备的规格、数量或质量不符合合同要求，或由于发包人原因发生交货日期延误及交货地点变更等情况的，发包人应承担由此增加的费用和（或）工期延误。</w:t>
      </w:r>
    </w:p>
    <w:p w14:paraId="044AF702">
      <w:pPr>
        <w:widowControl/>
        <w:adjustRightInd w:val="0"/>
        <w:snapToGrid w:val="0"/>
        <w:spacing w:after="163" w:afterLines="50" w:line="360" w:lineRule="auto"/>
        <w:ind w:firstLine="420" w:firstLineChars="200"/>
        <w:rPr>
          <w:rFonts w:ascii="宋体" w:hAnsi="宋体" w:cs="宋体"/>
          <w:color w:val="auto"/>
          <w:highlight w:val="none"/>
        </w:rPr>
      </w:pPr>
      <w:bookmarkStart w:id="1440" w:name="_Ref531953918"/>
      <w:bookmarkEnd w:id="1440"/>
      <w:r>
        <w:rPr>
          <w:rFonts w:hint="eastAsia" w:ascii="宋体" w:hAnsi="宋体" w:cs="宋体"/>
          <w:color w:val="auto"/>
          <w:szCs w:val="21"/>
          <w:highlight w:val="none"/>
          <w:lang w:bidi="ar"/>
        </w:rPr>
        <w:t>6.2.2承包人提供的材料和工程设备</w:t>
      </w:r>
    </w:p>
    <w:p w14:paraId="4147350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3DF0CDB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70207CF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3EF649B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76BD0974">
      <w:pPr>
        <w:widowControl/>
        <w:wordWrap w:val="0"/>
        <w:topLinePunct/>
        <w:adjustRightInd w:val="0"/>
        <w:snapToGrid w:val="0"/>
        <w:spacing w:after="163" w:afterLines="50" w:line="360" w:lineRule="auto"/>
        <w:ind w:firstLine="420" w:firstLineChars="200"/>
        <w:outlineLvl w:val="3"/>
        <w:rPr>
          <w:rFonts w:ascii="宋体" w:hAnsi="宋体" w:cs="宋体"/>
          <w:color w:val="auto"/>
          <w:highlight w:val="none"/>
        </w:rPr>
      </w:pPr>
      <w:bookmarkStart w:id="1441" w:name="_Ref531953991"/>
      <w:bookmarkEnd w:id="1441"/>
      <w:bookmarkStart w:id="1442" w:name="_Ref531953999"/>
      <w:r>
        <w:rPr>
          <w:rFonts w:hint="eastAsia" w:ascii="宋体" w:hAnsi="宋体" w:cs="宋体"/>
          <w:color w:val="auto"/>
          <w:szCs w:val="21"/>
          <w:highlight w:val="none"/>
          <w:lang w:bidi="ar"/>
        </w:rPr>
        <w:t>6</w:t>
      </w:r>
      <w:bookmarkEnd w:id="1442"/>
      <w:r>
        <w:rPr>
          <w:rFonts w:hint="eastAsia" w:ascii="宋体" w:hAnsi="宋体" w:cs="宋体"/>
          <w:color w:val="auto"/>
          <w:szCs w:val="21"/>
          <w:highlight w:val="none"/>
          <w:lang w:bidi="ar"/>
        </w:rPr>
        <w:t xml:space="preserve">.2.3材料和工程设备的保管 </w:t>
      </w:r>
    </w:p>
    <w:p w14:paraId="71A0676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（1）发包人供应材料与工程设备的保管与使用</w:t>
      </w:r>
    </w:p>
    <w:p w14:paraId="6029CF0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发包人供应的材料和工程设备，承包人清点并接收后由承包人妥善保管，保管费用由承包人承担，但专用合同条件另有约定除外。因承包人原因发生丢失毁损的，由承包人负责赔偿。</w:t>
      </w:r>
    </w:p>
    <w:p w14:paraId="5811657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发包人供应的材料和工程设备使用前，由承包人负责必要的检验，检验费用由发包人承担，不合格的不得使用。</w:t>
      </w:r>
    </w:p>
    <w:p w14:paraId="7871574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（2）承包人采购材料与工程设备的保管与使用</w:t>
      </w:r>
    </w:p>
    <w:p w14:paraId="4577F53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2A000A0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工程师发现承包人使用不符合设计或有关标准要求的材料和工程设备时，有权要求承包人进行修复、拆除或重新采购，由此增加的费用和（或）延误的工期，由承包人承担。</w:t>
      </w:r>
    </w:p>
    <w:p w14:paraId="36F0B1E5">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6.2.4材料和工程设备的所有权</w:t>
      </w:r>
    </w:p>
    <w:p w14:paraId="386D5C7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24C846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按第</w:t>
      </w:r>
      <w:r>
        <w:rPr>
          <w:rFonts w:ascii="宋体" w:hAnsi="宋体" w:cs="宋体"/>
          <w:color w:val="auto"/>
          <w:kern w:val="0"/>
          <w:szCs w:val="21"/>
          <w:highlight w:val="none"/>
          <w:lang w:bidi="ar"/>
        </w:rPr>
        <w:t>6.2.2项提供的材料和工程设备</w:t>
      </w:r>
      <w:r>
        <w:rPr>
          <w:rFonts w:hint="eastAsia" w:ascii="宋体" w:hAnsi="宋体" w:cs="宋体"/>
          <w:color w:val="auto"/>
          <w:kern w:val="0"/>
          <w:szCs w:val="21"/>
          <w:highlight w:val="none"/>
          <w:lang w:bidi="ar"/>
        </w:rPr>
        <w:t>，承包人应确保发包人取得无权利负担的材料及工程设备所有权，因承包人与第三人的物权争议导致的增加的费用和（或）延误的工期，由承包人承担。</w:t>
      </w:r>
    </w:p>
    <w:p w14:paraId="57739A49">
      <w:pPr>
        <w:widowControl/>
        <w:wordWrap w:val="0"/>
        <w:topLinePunct/>
        <w:adjustRightInd w:val="0"/>
        <w:snapToGrid w:val="0"/>
        <w:spacing w:after="163" w:afterLines="50" w:line="360" w:lineRule="auto"/>
        <w:outlineLvl w:val="2"/>
        <w:rPr>
          <w:rFonts w:ascii="宋体" w:hAnsi="宋体" w:cs="宋体"/>
          <w:color w:val="auto"/>
          <w:highlight w:val="none"/>
        </w:rPr>
      </w:pPr>
      <w:bookmarkStart w:id="1443" w:name="_Toc351203565"/>
      <w:bookmarkEnd w:id="1443"/>
      <w:bookmarkStart w:id="1444" w:name="_Toc20171772"/>
      <w:bookmarkEnd w:id="1444"/>
      <w:bookmarkStart w:id="1445" w:name="_Ref4428239"/>
      <w:bookmarkEnd w:id="1445"/>
      <w:bookmarkStart w:id="1446" w:name="_Toc337558785"/>
      <w:bookmarkStart w:id="1447" w:name="_Toc51766624"/>
      <w:bookmarkStart w:id="1448" w:name="_Toc58860211"/>
      <w:bookmarkStart w:id="1449" w:name="_Toc14032"/>
      <w:bookmarkStart w:id="1450" w:name="_Toc15629"/>
      <w:bookmarkStart w:id="1451" w:name="_Toc84930761"/>
      <w:bookmarkStart w:id="1452" w:name="_Toc170932492"/>
      <w:bookmarkStart w:id="1453" w:name="_Toc23538"/>
      <w:bookmarkStart w:id="1454" w:name="_Toc11932"/>
      <w:r>
        <w:rPr>
          <w:rFonts w:hint="eastAsia" w:ascii="宋体" w:hAnsi="宋体" w:cs="宋体"/>
          <w:color w:val="auto"/>
          <w:szCs w:val="21"/>
          <w:highlight w:val="none"/>
          <w:lang w:bidi="ar"/>
        </w:rPr>
        <w:t>6</w:t>
      </w:r>
      <w:bookmarkEnd w:id="1446"/>
      <w:r>
        <w:rPr>
          <w:rFonts w:hint="eastAsia" w:ascii="宋体" w:hAnsi="宋体" w:cs="宋体"/>
          <w:color w:val="auto"/>
          <w:szCs w:val="21"/>
          <w:highlight w:val="none"/>
          <w:lang w:bidi="ar"/>
        </w:rPr>
        <w:t>.3  样品</w:t>
      </w:r>
      <w:bookmarkEnd w:id="1447"/>
      <w:bookmarkEnd w:id="1448"/>
      <w:bookmarkEnd w:id="1449"/>
      <w:bookmarkEnd w:id="1450"/>
      <w:bookmarkEnd w:id="1451"/>
      <w:bookmarkEnd w:id="1452"/>
      <w:bookmarkEnd w:id="1453"/>
      <w:bookmarkEnd w:id="1454"/>
    </w:p>
    <w:p w14:paraId="6D8FD8FC">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6.3.1样品的报送与封存</w:t>
      </w:r>
    </w:p>
    <w:p w14:paraId="03C929A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需要承包人报送样品的材料或工程设备，样品的种类、名称、规格、数量等要求均应在专用合同条件中约定。样品的报送程序如下：</w:t>
      </w:r>
    </w:p>
    <w:p w14:paraId="7ADFF8A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31ED88F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56BCE26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（3）经工程师审批确认的样品应按约定的方法封样，封存的样品作为检验工程相关部分的标准之一。承包人在施工过程中不得使用与样品不符的材料或工程设备。</w:t>
      </w:r>
    </w:p>
    <w:p w14:paraId="4F48A15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2B62852">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6.3.2样品的保管</w:t>
      </w:r>
    </w:p>
    <w:p w14:paraId="31672C5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经批准的样品应由工程师负责封存于现场，承包人应在现场为保存样品提供适当和固定的场所并保持适当和良好的存储环境条件。</w:t>
      </w:r>
    </w:p>
    <w:p w14:paraId="7631F2C4">
      <w:pPr>
        <w:widowControl/>
        <w:wordWrap w:val="0"/>
        <w:topLinePunct/>
        <w:adjustRightInd w:val="0"/>
        <w:snapToGrid w:val="0"/>
        <w:spacing w:after="163" w:afterLines="50" w:line="360" w:lineRule="auto"/>
        <w:outlineLvl w:val="2"/>
        <w:rPr>
          <w:rFonts w:ascii="宋体" w:hAnsi="宋体" w:cs="宋体"/>
          <w:color w:val="auto"/>
          <w:highlight w:val="none"/>
        </w:rPr>
      </w:pPr>
      <w:bookmarkStart w:id="1455" w:name="_Ref11959210"/>
      <w:bookmarkEnd w:id="1455"/>
      <w:bookmarkStart w:id="1456" w:name="_Ref11959204"/>
      <w:bookmarkEnd w:id="1456"/>
      <w:bookmarkStart w:id="1457" w:name="_Toc20171773"/>
      <w:bookmarkStart w:id="1458" w:name="_Toc51766625"/>
      <w:bookmarkStart w:id="1459" w:name="_Toc22225"/>
      <w:bookmarkStart w:id="1460" w:name="_Toc31351"/>
      <w:bookmarkStart w:id="1461" w:name="_Toc9282"/>
      <w:bookmarkStart w:id="1462" w:name="_Toc170932493"/>
      <w:bookmarkStart w:id="1463" w:name="_Toc58860212"/>
      <w:bookmarkStart w:id="1464" w:name="_Toc84930762"/>
      <w:bookmarkStart w:id="1465" w:name="_Toc1226"/>
      <w:r>
        <w:rPr>
          <w:rFonts w:hint="eastAsia" w:ascii="宋体" w:hAnsi="宋体" w:cs="宋体"/>
          <w:color w:val="auto"/>
          <w:szCs w:val="21"/>
          <w:highlight w:val="none"/>
          <w:lang w:bidi="ar"/>
        </w:rPr>
        <w:t>6</w:t>
      </w:r>
      <w:bookmarkEnd w:id="1457"/>
      <w:r>
        <w:rPr>
          <w:rFonts w:hint="eastAsia" w:ascii="宋体" w:hAnsi="宋体" w:cs="宋体"/>
          <w:color w:val="auto"/>
          <w:szCs w:val="21"/>
          <w:highlight w:val="none"/>
          <w:lang w:bidi="ar"/>
        </w:rPr>
        <w:t>.4  质量检查</w:t>
      </w:r>
      <w:bookmarkEnd w:id="1458"/>
      <w:bookmarkEnd w:id="1459"/>
      <w:bookmarkEnd w:id="1460"/>
      <w:bookmarkEnd w:id="1461"/>
      <w:bookmarkEnd w:id="1462"/>
      <w:bookmarkEnd w:id="1463"/>
      <w:bookmarkEnd w:id="1464"/>
      <w:bookmarkEnd w:id="1465"/>
    </w:p>
    <w:p w14:paraId="3C840B49">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466" w:name="_Ref18990699"/>
      <w:bookmarkEnd w:id="1466"/>
      <w:r>
        <w:rPr>
          <w:rFonts w:hint="eastAsia" w:ascii="宋体" w:hAnsi="宋体" w:cs="宋体"/>
          <w:color w:val="auto"/>
          <w:szCs w:val="21"/>
          <w:highlight w:val="none"/>
          <w:lang w:bidi="ar"/>
        </w:rPr>
        <w:t>6.4.1工程质量要求</w:t>
      </w:r>
    </w:p>
    <w:p w14:paraId="7F01818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工程质量标准必须符合现行国家有关工程施工质量验收规范和标准的要求。有关工程质量的特殊标准或要求由合同当事人在专用合同条件中约定。</w:t>
      </w:r>
    </w:p>
    <w:p w14:paraId="5EA7006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59ACF0A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467" w:name="_Ref18990717"/>
      <w:bookmarkEnd w:id="1467"/>
      <w:r>
        <w:rPr>
          <w:rFonts w:hint="eastAsia" w:ascii="宋体" w:hAnsi="宋体" w:cs="宋体"/>
          <w:color w:val="auto"/>
          <w:szCs w:val="21"/>
          <w:highlight w:val="none"/>
          <w:lang w:bidi="ar"/>
        </w:rPr>
        <w:t>6.4.2质量检查</w:t>
      </w:r>
    </w:p>
    <w:p w14:paraId="67F004A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5E33799B">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468" w:name="_Ref11959222"/>
      <w:bookmarkEnd w:id="1468"/>
      <w:r>
        <w:rPr>
          <w:rFonts w:hint="eastAsia" w:ascii="宋体" w:hAnsi="宋体" w:cs="宋体"/>
          <w:color w:val="auto"/>
          <w:szCs w:val="21"/>
          <w:highlight w:val="none"/>
          <w:lang w:bidi="ar"/>
        </w:rPr>
        <w:t>6.4.3隐蔽工程检查</w:t>
      </w:r>
    </w:p>
    <w:p w14:paraId="2E4063A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63BE371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师应按时到场并对隐蔽工程及其施工工艺、材料和工程设备进行检查。经工程师检查确认质量符合隐蔽要求，并在验收记录上签名后，承包人才能进行覆盖。经工程师检查质量不合格的，承包人应在工程师指示的时间内完成修复，并由工程师重新检查，由此增加的费用和（或）延误的工期由承包人承担。</w:t>
      </w:r>
    </w:p>
    <w:p w14:paraId="550F604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除专用合同条件另有约定外，工程师不能按时进行检查的，应提前向承包人提交书面延期要求，顺延时间不得超过</w:t>
      </w:r>
      <w:r>
        <w:rPr>
          <w:rFonts w:ascii="宋体" w:hAnsi="宋体" w:cs="宋体"/>
          <w:color w:val="auto"/>
          <w:kern w:val="0"/>
          <w:szCs w:val="21"/>
          <w:highlight w:val="none"/>
          <w:lang w:bidi="ar"/>
        </w:rPr>
        <w:t>48小时，</w:t>
      </w:r>
      <w:r>
        <w:rPr>
          <w:rFonts w:hint="eastAsia" w:ascii="宋体" w:hAnsi="宋体" w:cs="宋体"/>
          <w:color w:val="auto"/>
          <w:kern w:val="0"/>
          <w:szCs w:val="21"/>
          <w:highlight w:val="none"/>
          <w:lang w:bidi="ar"/>
        </w:rPr>
        <w:t>由此导致工期延误的，工期应予以顺延；顺延超过</w:t>
      </w:r>
      <w:r>
        <w:rPr>
          <w:rFonts w:ascii="宋体" w:hAnsi="宋体" w:cs="宋体"/>
          <w:color w:val="auto"/>
          <w:kern w:val="0"/>
          <w:szCs w:val="21"/>
          <w:highlight w:val="none"/>
          <w:lang w:bidi="ar"/>
        </w:rPr>
        <w:t>48小时的，由此导致的工期延误及费用增加由发包人承担</w:t>
      </w:r>
      <w:r>
        <w:rPr>
          <w:rFonts w:hint="eastAsia" w:ascii="宋体" w:hAnsi="宋体" w:cs="宋体"/>
          <w:color w:val="auto"/>
          <w:kern w:val="0"/>
          <w:szCs w:val="21"/>
          <w:highlight w:val="none"/>
          <w:lang w:bidi="ar"/>
        </w:rPr>
        <w:t>。工程师未按时进行检查，也未提出延期要求的，视为隐蔽工程检查合格，承包人可自行完成覆盖工作，并作相应记录报送工程师，工程师应签名确认。工程师事后对检查记录有疑问的，可按下列约定重新检查。</w:t>
      </w:r>
    </w:p>
    <w:p w14:paraId="2E4455F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A64FF9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承包人未通知工程师到场检查，私自将工程隐蔽部位覆盖的，工程师有权指示承包人钻孔探测或揭开检查，无论工程隐蔽部位质量是否合格，由此增加的费用和（或）延误的工期均由承包人承担。</w:t>
      </w:r>
    </w:p>
    <w:p w14:paraId="1C88906E">
      <w:pPr>
        <w:widowControl/>
        <w:wordWrap w:val="0"/>
        <w:topLinePunct/>
        <w:adjustRightInd w:val="0"/>
        <w:snapToGrid w:val="0"/>
        <w:spacing w:after="163" w:afterLines="50" w:line="360" w:lineRule="auto"/>
        <w:outlineLvl w:val="2"/>
        <w:rPr>
          <w:rFonts w:ascii="宋体" w:hAnsi="宋体" w:cs="宋体"/>
          <w:color w:val="auto"/>
          <w:highlight w:val="none"/>
        </w:rPr>
      </w:pPr>
      <w:bookmarkStart w:id="1469" w:name="_Ref11927398"/>
      <w:bookmarkEnd w:id="1469"/>
      <w:bookmarkStart w:id="1470" w:name="_Ref11959175"/>
      <w:bookmarkEnd w:id="1470"/>
      <w:bookmarkStart w:id="1471" w:name="_Ref11927403"/>
      <w:bookmarkEnd w:id="1471"/>
      <w:bookmarkStart w:id="1472" w:name="_Ref11927389"/>
      <w:bookmarkEnd w:id="1472"/>
      <w:bookmarkStart w:id="1473" w:name="_Toc20171774"/>
      <w:bookmarkEnd w:id="1473"/>
      <w:bookmarkStart w:id="1474" w:name="_Ref11959158"/>
      <w:bookmarkStart w:id="1475" w:name="_Toc170932494"/>
      <w:bookmarkStart w:id="1476" w:name="_Toc25319"/>
      <w:bookmarkStart w:id="1477" w:name="_Toc51766626"/>
      <w:bookmarkStart w:id="1478" w:name="_Toc20327"/>
      <w:bookmarkStart w:id="1479" w:name="_Toc49"/>
      <w:bookmarkStart w:id="1480" w:name="_Toc3211"/>
      <w:bookmarkStart w:id="1481" w:name="_Toc58860213"/>
      <w:bookmarkStart w:id="1482" w:name="_Toc84930763"/>
      <w:r>
        <w:rPr>
          <w:rFonts w:hint="eastAsia" w:ascii="宋体" w:hAnsi="宋体" w:cs="宋体"/>
          <w:color w:val="auto"/>
          <w:szCs w:val="21"/>
          <w:highlight w:val="none"/>
          <w:lang w:bidi="ar"/>
        </w:rPr>
        <w:t xml:space="preserve">6.5  </w:t>
      </w:r>
      <w:bookmarkEnd w:id="1474"/>
      <w:r>
        <w:rPr>
          <w:rFonts w:hint="eastAsia" w:ascii="宋体" w:hAnsi="宋体" w:cs="宋体"/>
          <w:color w:val="auto"/>
          <w:szCs w:val="21"/>
          <w:highlight w:val="none"/>
          <w:lang w:bidi="ar"/>
        </w:rPr>
        <w:t>由承包人试验和检验</w:t>
      </w:r>
      <w:bookmarkEnd w:id="1475"/>
      <w:bookmarkEnd w:id="1476"/>
      <w:bookmarkEnd w:id="1477"/>
      <w:bookmarkEnd w:id="1478"/>
      <w:bookmarkEnd w:id="1479"/>
      <w:bookmarkEnd w:id="1480"/>
      <w:bookmarkEnd w:id="1481"/>
      <w:bookmarkEnd w:id="1482"/>
    </w:p>
    <w:p w14:paraId="3ED8AD03">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6.5.1试验设备与试验人员</w:t>
      </w:r>
    </w:p>
    <w:p w14:paraId="4A5D639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36AE346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（2）承包人应按专用合同条件约定的试验内容、时间和地点提供试验设备、取样装置、试验场所和试验条件，并向工程师提交相应进场计划表。</w:t>
      </w:r>
    </w:p>
    <w:p w14:paraId="2832F05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承包人配置的试验设备要符合相应试验规程的要求并经过具有资质的检测单位检测，且在正式使用该试验设备前，需要经过工程师与承包人共同校定。</w:t>
      </w:r>
    </w:p>
    <w:p w14:paraId="3DDFEFD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（3）承包人应向工程师提交试验人员的名单及其岗位、资格等证明资料，试验人员必须能够熟练进行相应的检测试验，承包人对试验人员的试验程序和试验结果的正确性负责。</w:t>
      </w:r>
    </w:p>
    <w:p w14:paraId="67AA3B78">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6.5.2取样</w:t>
      </w:r>
    </w:p>
    <w:p w14:paraId="2ABEB49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试验属于自检性质的，承包人可以单独取样。试验属于工程师抽检性质的，可由工程师取样，也可由承包人的试验人员在工程师的监督下取样。</w:t>
      </w:r>
    </w:p>
    <w:p w14:paraId="20BA3765">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6.5.3材料、工程设备和工程的试验和检验</w:t>
      </w:r>
    </w:p>
    <w:p w14:paraId="3D6CC2D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35AD933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3363E1E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E7619B6">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483" w:name="_Toc351203566"/>
      <w:bookmarkEnd w:id="1483"/>
      <w:bookmarkStart w:id="1484" w:name="_Toc337558786"/>
      <w:r>
        <w:rPr>
          <w:rFonts w:hint="eastAsia" w:ascii="宋体" w:hAnsi="宋体" w:cs="宋体"/>
          <w:color w:val="auto"/>
          <w:szCs w:val="21"/>
          <w:highlight w:val="none"/>
          <w:lang w:bidi="ar"/>
        </w:rPr>
        <w:t>6</w:t>
      </w:r>
      <w:bookmarkEnd w:id="1484"/>
      <w:r>
        <w:rPr>
          <w:rFonts w:hint="eastAsia" w:ascii="宋体" w:hAnsi="宋体" w:cs="宋体"/>
          <w:color w:val="auto"/>
          <w:szCs w:val="21"/>
          <w:highlight w:val="none"/>
          <w:lang w:bidi="ar"/>
        </w:rPr>
        <w:t>.5.4现场工艺试验</w:t>
      </w:r>
    </w:p>
    <w:p w14:paraId="66A8282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承包人应按合同约定进行现场工艺试验。对大型的现场工艺试验，发包人认为必要时，承包人应根据发包人提出的工艺试验要求，编制工艺试验措施计划，报送发包人审查。</w:t>
      </w:r>
    </w:p>
    <w:p w14:paraId="75E6D579">
      <w:pPr>
        <w:widowControl/>
        <w:wordWrap w:val="0"/>
        <w:topLinePunct/>
        <w:adjustRightInd w:val="0"/>
        <w:snapToGrid w:val="0"/>
        <w:spacing w:after="163" w:afterLines="50" w:line="360" w:lineRule="auto"/>
        <w:outlineLvl w:val="2"/>
        <w:rPr>
          <w:rFonts w:ascii="宋体" w:hAnsi="宋体" w:cs="宋体"/>
          <w:color w:val="auto"/>
          <w:highlight w:val="none"/>
        </w:rPr>
      </w:pPr>
      <w:bookmarkStart w:id="1485" w:name="_Ref532592784"/>
      <w:bookmarkEnd w:id="1485"/>
      <w:bookmarkStart w:id="1486" w:name="_Ref532592787"/>
      <w:bookmarkEnd w:id="1486"/>
      <w:bookmarkStart w:id="1487" w:name="_Toc20171775"/>
      <w:bookmarkStart w:id="1488" w:name="_Toc84930764"/>
      <w:bookmarkStart w:id="1489" w:name="_Toc51766627"/>
      <w:bookmarkStart w:id="1490" w:name="_Toc23243"/>
      <w:bookmarkStart w:id="1491" w:name="_Toc30935"/>
      <w:bookmarkStart w:id="1492" w:name="_Toc14746"/>
      <w:bookmarkStart w:id="1493" w:name="_Toc170932495"/>
      <w:bookmarkStart w:id="1494" w:name="_Toc22620"/>
      <w:bookmarkStart w:id="1495" w:name="_Toc58860214"/>
      <w:r>
        <w:rPr>
          <w:rFonts w:hint="eastAsia" w:ascii="宋体" w:hAnsi="宋体" w:cs="宋体"/>
          <w:color w:val="auto"/>
          <w:szCs w:val="21"/>
          <w:highlight w:val="none"/>
          <w:lang w:bidi="ar"/>
        </w:rPr>
        <w:t>6</w:t>
      </w:r>
      <w:bookmarkEnd w:id="1487"/>
      <w:r>
        <w:rPr>
          <w:rFonts w:hint="eastAsia" w:ascii="宋体" w:hAnsi="宋体" w:cs="宋体"/>
          <w:color w:val="auto"/>
          <w:szCs w:val="21"/>
          <w:highlight w:val="none"/>
          <w:lang w:bidi="ar"/>
        </w:rPr>
        <w:t>.6  缺陷和修补</w:t>
      </w:r>
      <w:bookmarkEnd w:id="1488"/>
      <w:bookmarkEnd w:id="1489"/>
      <w:bookmarkEnd w:id="1490"/>
      <w:bookmarkEnd w:id="1491"/>
      <w:bookmarkEnd w:id="1492"/>
      <w:bookmarkEnd w:id="1493"/>
      <w:bookmarkEnd w:id="1494"/>
      <w:bookmarkEnd w:id="1495"/>
    </w:p>
    <w:p w14:paraId="6A5065BD">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496" w:name="_Ref16875551"/>
      <w:bookmarkEnd w:id="1496"/>
      <w:r>
        <w:rPr>
          <w:rFonts w:hint="eastAsia" w:ascii="宋体" w:hAnsi="宋体" w:cs="宋体"/>
          <w:color w:val="auto"/>
          <w:szCs w:val="21"/>
          <w:highlight w:val="none"/>
          <w:lang w:bidi="ar"/>
        </w:rPr>
        <w:t>6.6.1发包人可在颁发接收证书前随时指示承包人：</w:t>
      </w:r>
    </w:p>
    <w:p w14:paraId="6137C07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（1）对不符合合同要求的任何工程设备或材料进行修补，或者将其移出现场并进行更换；</w:t>
      </w:r>
    </w:p>
    <w:p w14:paraId="02F1394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（2）对不符合合同的其他工作进行修补，或者将其去除并重新实施； </w:t>
      </w:r>
    </w:p>
    <w:p w14:paraId="09DA3BE9">
      <w:pPr>
        <w:widowControl/>
        <w:adjustRightInd w:val="0"/>
        <w:snapToGrid w:val="0"/>
        <w:spacing w:after="163" w:afterLines="50" w:line="360" w:lineRule="auto"/>
        <w:ind w:firstLine="420" w:firstLineChars="200"/>
        <w:rPr>
          <w:rFonts w:ascii="宋体" w:hAnsi="宋体" w:cs="宋体"/>
          <w:color w:val="auto"/>
          <w:kern w:val="0"/>
          <w:highlight w:val="none"/>
        </w:rPr>
      </w:pPr>
      <w:bookmarkStart w:id="1497" w:name="_Ref4708991"/>
      <w:bookmarkEnd w:id="1497"/>
      <w:r>
        <w:rPr>
          <w:rFonts w:hint="eastAsia" w:ascii="宋体" w:hAnsi="宋体" w:cs="宋体"/>
          <w:color w:val="auto"/>
          <w:kern w:val="0"/>
          <w:szCs w:val="21"/>
          <w:highlight w:val="none"/>
          <w:lang w:bidi="ar"/>
        </w:rPr>
        <w:t>（3）实施因意外、不可预见的事件或其他原因引起的、为工程的安全迫切需要的任何修补工作。</w:t>
      </w:r>
    </w:p>
    <w:p w14:paraId="6C33E6DD">
      <w:pPr>
        <w:widowControl/>
        <w:adjustRightInd w:val="0"/>
        <w:snapToGrid w:val="0"/>
        <w:spacing w:after="163" w:afterLines="50" w:line="360" w:lineRule="auto"/>
        <w:ind w:firstLine="420" w:firstLineChars="200"/>
        <w:rPr>
          <w:rFonts w:ascii="宋体" w:hAnsi="宋体" w:cs="宋体"/>
          <w:color w:val="auto"/>
          <w:highlight w:val="none"/>
        </w:rPr>
      </w:pPr>
      <w:bookmarkStart w:id="1498" w:name="_Ref11956964"/>
      <w:bookmarkEnd w:id="1498"/>
      <w:r>
        <w:rPr>
          <w:rFonts w:hint="eastAsia" w:ascii="宋体" w:hAnsi="宋体" w:cs="宋体"/>
          <w:color w:val="auto"/>
          <w:szCs w:val="21"/>
          <w:highlight w:val="none"/>
          <w:lang w:bidi="ar"/>
        </w:rPr>
        <w:t>6.6.2承包人应遵守第6.6.1项下指示，并在合理可行的情况下，根据上述指示中规定的时间完成修补工作。除因下列原因引起的第6.6.1项第（3）目下的情形外，承包人应承担所有修补工作的费用：</w:t>
      </w:r>
    </w:p>
    <w:p w14:paraId="545C598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（1）因发包人或其人员的任何行为导致的情形，且在此情况下发包人应承担因此引起的工期延误和承包人费用损失，并向承包人支付合理的利润。</w:t>
      </w:r>
    </w:p>
    <w:p w14:paraId="52539FF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（2）第17.4款[不可抗力后果的承担]中适用的不可抗力事件的情形。</w:t>
      </w:r>
    </w:p>
    <w:p w14:paraId="3FF951C4">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6.6.3如果承包人未能遵守发包人的指示，发包人可以自行决定请第三方完成上述修补工作，并有权要求承包人支付因未履行指示而产生的所有费用，但承包人根据第6.6.2项有权就修补工作获得支付的情况除外。</w:t>
      </w:r>
    </w:p>
    <w:p w14:paraId="2693F3DF">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499" w:name="_Ref531954214"/>
      <w:bookmarkEnd w:id="1499"/>
      <w:bookmarkStart w:id="1500" w:name="_Toc20171776"/>
      <w:bookmarkStart w:id="1501" w:name="_Toc170932496"/>
      <w:bookmarkStart w:id="1502" w:name="_Toc24641"/>
      <w:r>
        <w:rPr>
          <w:rFonts w:hint="eastAsia" w:ascii="宋体" w:hAnsi="宋体" w:cs="宋体"/>
          <w:color w:val="auto"/>
          <w:kern w:val="0"/>
          <w:szCs w:val="21"/>
          <w:highlight w:val="none"/>
          <w:lang w:bidi="ar"/>
        </w:rPr>
        <w:t xml:space="preserve">第7条 </w:t>
      </w:r>
      <w:bookmarkEnd w:id="1500"/>
      <w:r>
        <w:rPr>
          <w:rFonts w:hint="eastAsia" w:ascii="宋体" w:hAnsi="宋体" w:cs="宋体"/>
          <w:color w:val="auto"/>
          <w:kern w:val="0"/>
          <w:szCs w:val="21"/>
          <w:highlight w:val="none"/>
          <w:lang w:bidi="ar"/>
        </w:rPr>
        <w:t xml:space="preserve"> 施工</w:t>
      </w:r>
      <w:bookmarkEnd w:id="1501"/>
      <w:bookmarkEnd w:id="1502"/>
    </w:p>
    <w:p w14:paraId="5A752010">
      <w:pPr>
        <w:widowControl/>
        <w:wordWrap w:val="0"/>
        <w:topLinePunct/>
        <w:adjustRightInd w:val="0"/>
        <w:snapToGrid w:val="0"/>
        <w:spacing w:after="163" w:afterLines="50" w:line="360" w:lineRule="auto"/>
        <w:outlineLvl w:val="2"/>
        <w:rPr>
          <w:rFonts w:ascii="宋体" w:hAnsi="宋体" w:cs="宋体"/>
          <w:color w:val="auto"/>
          <w:highlight w:val="none"/>
        </w:rPr>
      </w:pPr>
      <w:bookmarkStart w:id="1503" w:name="_Ref531954276"/>
      <w:bookmarkEnd w:id="1503"/>
      <w:bookmarkStart w:id="1504" w:name="_Toc20171777"/>
      <w:bookmarkEnd w:id="1504"/>
      <w:bookmarkStart w:id="1505" w:name="_Ref531954246"/>
      <w:bookmarkEnd w:id="1505"/>
      <w:bookmarkStart w:id="1506" w:name="_Ref531954272"/>
      <w:bookmarkEnd w:id="1506"/>
      <w:bookmarkStart w:id="1507" w:name="_Ref531954260"/>
      <w:bookmarkStart w:id="1508" w:name="_Toc170932497"/>
      <w:bookmarkStart w:id="1509" w:name="_Toc16413"/>
      <w:bookmarkStart w:id="1510" w:name="_Toc58860216"/>
      <w:bookmarkStart w:id="1511" w:name="_Toc12864"/>
      <w:bookmarkStart w:id="1512" w:name="_Toc84930766"/>
      <w:bookmarkStart w:id="1513" w:name="_Toc26213"/>
      <w:bookmarkStart w:id="1514" w:name="_Toc6801"/>
      <w:bookmarkStart w:id="1515" w:name="_Toc51766629"/>
      <w:r>
        <w:rPr>
          <w:rFonts w:hint="eastAsia" w:ascii="宋体" w:hAnsi="宋体" w:cs="宋体"/>
          <w:color w:val="auto"/>
          <w:szCs w:val="21"/>
          <w:highlight w:val="none"/>
          <w:lang w:bidi="ar"/>
        </w:rPr>
        <w:t>7</w:t>
      </w:r>
      <w:bookmarkEnd w:id="1507"/>
      <w:r>
        <w:rPr>
          <w:rFonts w:hint="eastAsia" w:ascii="宋体" w:hAnsi="宋体" w:cs="宋体"/>
          <w:color w:val="auto"/>
          <w:szCs w:val="21"/>
          <w:highlight w:val="none"/>
          <w:lang w:bidi="ar"/>
        </w:rPr>
        <w:t>.1  交通运输</w:t>
      </w:r>
      <w:bookmarkEnd w:id="1508"/>
      <w:bookmarkEnd w:id="1509"/>
      <w:bookmarkEnd w:id="1510"/>
      <w:bookmarkEnd w:id="1511"/>
      <w:bookmarkEnd w:id="1512"/>
      <w:bookmarkEnd w:id="1513"/>
      <w:bookmarkEnd w:id="1514"/>
      <w:bookmarkEnd w:id="1515"/>
      <w:r>
        <w:rPr>
          <w:rFonts w:hint="eastAsia" w:ascii="宋体" w:hAnsi="宋体" w:cs="宋体"/>
          <w:color w:val="auto"/>
          <w:szCs w:val="21"/>
          <w:highlight w:val="none"/>
          <w:lang w:bidi="ar"/>
        </w:rPr>
        <w:t xml:space="preserve"> </w:t>
      </w:r>
    </w:p>
    <w:p w14:paraId="22B009A9">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16" w:name="_Ref4422645"/>
      <w:bookmarkEnd w:id="1516"/>
      <w:r>
        <w:rPr>
          <w:rFonts w:hint="eastAsia" w:ascii="宋体" w:hAnsi="宋体" w:cs="宋体"/>
          <w:color w:val="auto"/>
          <w:szCs w:val="21"/>
          <w:highlight w:val="none"/>
          <w:lang w:bidi="ar"/>
        </w:rPr>
        <w:t>7.1.1出入现场的权利</w:t>
      </w:r>
    </w:p>
    <w:p w14:paraId="6DEF52D8">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73DA03D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17" w:name="_Ref18957045"/>
      <w:bookmarkEnd w:id="1517"/>
      <w:r>
        <w:rPr>
          <w:rFonts w:hint="eastAsia" w:ascii="宋体" w:hAnsi="宋体" w:cs="宋体"/>
          <w:color w:val="auto"/>
          <w:szCs w:val="21"/>
          <w:highlight w:val="none"/>
          <w:lang w:bidi="ar"/>
        </w:rPr>
        <w:t>7.1.2场外交通</w:t>
      </w:r>
    </w:p>
    <w:p w14:paraId="7969956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1E6EEDDE">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18" w:name="_Ref4622358"/>
      <w:bookmarkEnd w:id="1518"/>
      <w:r>
        <w:rPr>
          <w:rFonts w:hint="eastAsia" w:ascii="宋体" w:hAnsi="宋体" w:cs="宋体"/>
          <w:color w:val="auto"/>
          <w:szCs w:val="21"/>
          <w:highlight w:val="none"/>
          <w:lang w:bidi="ar"/>
        </w:rPr>
        <w:t>7.1.3场内交通</w:t>
      </w:r>
    </w:p>
    <w:p w14:paraId="2BE8443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37C3F46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19" w:name="_Ref4622376"/>
      <w:bookmarkEnd w:id="1519"/>
      <w:r>
        <w:rPr>
          <w:rFonts w:hint="eastAsia" w:ascii="宋体" w:hAnsi="宋体" w:cs="宋体"/>
          <w:color w:val="auto"/>
          <w:szCs w:val="21"/>
          <w:highlight w:val="none"/>
          <w:lang w:bidi="ar"/>
        </w:rPr>
        <w:t>7.1.4超大件和超重件的运输</w:t>
      </w:r>
    </w:p>
    <w:p w14:paraId="65A18F7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43AB78B5">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7.1.5道路和桥梁的损坏责任</w:t>
      </w:r>
    </w:p>
    <w:p w14:paraId="610F69E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因承包人运输造成施工现场内外公共道路和桥梁损坏的，由承包人承担修复损坏的全部费用和可能引起的赔偿。</w:t>
      </w:r>
    </w:p>
    <w:p w14:paraId="72D561E3">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7.1.6水路和航空运输</w:t>
      </w:r>
    </w:p>
    <w:p w14:paraId="714A455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本条上述各款的内容适用于水路运输和航空运输，其中“道路”一词的涵义包括河道、航线、船闸、机场、码头、堤防以及水路或航空运输中其他相似结构物；“车辆”一词的涵义包括船舶和飞机等。</w:t>
      </w:r>
    </w:p>
    <w:p w14:paraId="77BB4647">
      <w:pPr>
        <w:widowControl/>
        <w:wordWrap w:val="0"/>
        <w:topLinePunct/>
        <w:adjustRightInd w:val="0"/>
        <w:snapToGrid w:val="0"/>
        <w:spacing w:after="163" w:afterLines="50" w:line="360" w:lineRule="auto"/>
        <w:outlineLvl w:val="2"/>
        <w:rPr>
          <w:rFonts w:ascii="宋体" w:hAnsi="宋体" w:cs="宋体"/>
          <w:color w:val="auto"/>
          <w:highlight w:val="none"/>
        </w:rPr>
      </w:pPr>
      <w:bookmarkStart w:id="1520" w:name="_Ref11919294"/>
      <w:bookmarkEnd w:id="1520"/>
      <w:bookmarkStart w:id="1521" w:name="_Ref11919459"/>
      <w:bookmarkEnd w:id="1521"/>
      <w:bookmarkStart w:id="1522" w:name="_Toc20171778"/>
      <w:bookmarkStart w:id="1523" w:name="_Toc84930767"/>
      <w:bookmarkStart w:id="1524" w:name="_Toc51766630"/>
      <w:bookmarkStart w:id="1525" w:name="_Toc25790"/>
      <w:bookmarkStart w:id="1526" w:name="_Toc32686"/>
      <w:bookmarkStart w:id="1527" w:name="_Toc5926"/>
      <w:bookmarkStart w:id="1528" w:name="_Toc58860217"/>
      <w:bookmarkStart w:id="1529" w:name="_Toc170932498"/>
      <w:bookmarkStart w:id="1530" w:name="_Toc32414"/>
      <w:r>
        <w:rPr>
          <w:rFonts w:hint="eastAsia" w:ascii="宋体" w:hAnsi="宋体" w:cs="宋体"/>
          <w:color w:val="auto"/>
          <w:szCs w:val="21"/>
          <w:highlight w:val="none"/>
          <w:lang w:bidi="ar"/>
        </w:rPr>
        <w:t>7</w:t>
      </w:r>
      <w:bookmarkEnd w:id="1522"/>
      <w:r>
        <w:rPr>
          <w:rFonts w:hint="eastAsia" w:ascii="宋体" w:hAnsi="宋体" w:cs="宋体"/>
          <w:color w:val="auto"/>
          <w:szCs w:val="21"/>
          <w:highlight w:val="none"/>
          <w:lang w:bidi="ar"/>
        </w:rPr>
        <w:t>.2  施工设备和临时设施</w:t>
      </w:r>
      <w:bookmarkEnd w:id="1523"/>
      <w:bookmarkEnd w:id="1524"/>
      <w:bookmarkEnd w:id="1525"/>
      <w:bookmarkEnd w:id="1526"/>
      <w:bookmarkEnd w:id="1527"/>
      <w:bookmarkEnd w:id="1528"/>
      <w:bookmarkEnd w:id="1529"/>
      <w:bookmarkEnd w:id="1530"/>
      <w:r>
        <w:rPr>
          <w:rFonts w:hint="eastAsia" w:ascii="宋体" w:hAnsi="宋体" w:cs="宋体"/>
          <w:color w:val="auto"/>
          <w:szCs w:val="21"/>
          <w:highlight w:val="none"/>
          <w:lang w:bidi="ar"/>
        </w:rPr>
        <w:t xml:space="preserve"> </w:t>
      </w:r>
    </w:p>
    <w:p w14:paraId="13D707D0">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31" w:name="_Ref18990767"/>
      <w:bookmarkEnd w:id="1531"/>
      <w:bookmarkStart w:id="1532" w:name="_Ref509043186"/>
      <w:r>
        <w:rPr>
          <w:rFonts w:hint="eastAsia" w:ascii="宋体" w:hAnsi="宋体" w:cs="宋体"/>
          <w:color w:val="auto"/>
          <w:szCs w:val="21"/>
          <w:highlight w:val="none"/>
          <w:lang w:bidi="ar"/>
        </w:rPr>
        <w:t>7</w:t>
      </w:r>
      <w:bookmarkEnd w:id="1532"/>
      <w:r>
        <w:rPr>
          <w:rFonts w:hint="eastAsia" w:ascii="宋体" w:hAnsi="宋体" w:cs="宋体"/>
          <w:color w:val="auto"/>
          <w:szCs w:val="21"/>
          <w:highlight w:val="none"/>
          <w:lang w:bidi="ar"/>
        </w:rPr>
        <w:t>.2.1承包人提供的施工设备和临时设施</w:t>
      </w:r>
    </w:p>
    <w:p w14:paraId="7F23727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682B189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应自行承担修建临时设施的费用，需要临时占地的，应由发包人办理申请手续并承担相应费用。承包人应在专用合同条件第7.2款约定的时间内向发包人提交临时占地资料，因承包人未能按时提交资料，导致工期延误的，由此增加的费用和（或）竣工日期延误，由承包人负责。</w:t>
      </w:r>
    </w:p>
    <w:p w14:paraId="53FA6D3F">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33" w:name="_Ref18990784"/>
      <w:bookmarkEnd w:id="1533"/>
      <w:r>
        <w:rPr>
          <w:rFonts w:hint="eastAsia" w:ascii="宋体" w:hAnsi="宋体" w:cs="宋体"/>
          <w:color w:val="auto"/>
          <w:szCs w:val="21"/>
          <w:highlight w:val="none"/>
          <w:lang w:bidi="ar"/>
        </w:rPr>
        <w:t>7.2.2发包人提供的施工设备和临时设施</w:t>
      </w:r>
    </w:p>
    <w:p w14:paraId="33CBB04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发包人提供的施工设备或临时设施在专用合同条件中约定。</w:t>
      </w:r>
    </w:p>
    <w:p w14:paraId="41477AA2">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7.2.3要求承包人增加或更换施工设备</w:t>
      </w:r>
    </w:p>
    <w:p w14:paraId="6B1E439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承包人使用的施工设备不能满足项目进度计划和（或）质量要求时，工程师有权要求承包人增加或更换施工设备，承包人应及时增加或更换，由此增加的费用和（或）延误的工期由承包人承担。</w:t>
      </w:r>
    </w:p>
    <w:p w14:paraId="274F8126">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7.2.4施工设备和临时设施专用于合同工程</w:t>
      </w:r>
    </w:p>
    <w:p w14:paraId="20F37EB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7CDD2299">
      <w:pPr>
        <w:widowControl/>
        <w:wordWrap w:val="0"/>
        <w:topLinePunct/>
        <w:adjustRightInd w:val="0"/>
        <w:snapToGrid w:val="0"/>
        <w:spacing w:after="163" w:afterLines="50" w:line="360" w:lineRule="auto"/>
        <w:outlineLvl w:val="2"/>
        <w:rPr>
          <w:rFonts w:ascii="宋体" w:hAnsi="宋体" w:cs="宋体"/>
          <w:color w:val="auto"/>
          <w:highlight w:val="none"/>
        </w:rPr>
      </w:pPr>
      <w:bookmarkStart w:id="1534" w:name="_Toc20171779"/>
      <w:bookmarkEnd w:id="1534"/>
      <w:bookmarkStart w:id="1535" w:name="_Ref11874352"/>
      <w:bookmarkStart w:id="1536" w:name="_Toc51766631"/>
      <w:bookmarkStart w:id="1537" w:name="_Toc32576"/>
      <w:bookmarkStart w:id="1538" w:name="_Toc11063"/>
      <w:bookmarkStart w:id="1539" w:name="_Toc9460"/>
      <w:bookmarkStart w:id="1540" w:name="_Toc58860218"/>
      <w:bookmarkStart w:id="1541" w:name="_Toc170932499"/>
      <w:bookmarkStart w:id="1542" w:name="_Toc84930768"/>
      <w:bookmarkStart w:id="1543" w:name="_Toc31322"/>
      <w:r>
        <w:rPr>
          <w:rFonts w:hint="eastAsia" w:ascii="宋体" w:hAnsi="宋体" w:cs="宋体"/>
          <w:color w:val="auto"/>
          <w:szCs w:val="21"/>
          <w:highlight w:val="none"/>
          <w:lang w:bidi="ar"/>
        </w:rPr>
        <w:t>7</w:t>
      </w:r>
      <w:bookmarkEnd w:id="1535"/>
      <w:r>
        <w:rPr>
          <w:rFonts w:hint="eastAsia" w:ascii="宋体" w:hAnsi="宋体" w:cs="宋体"/>
          <w:color w:val="auto"/>
          <w:szCs w:val="21"/>
          <w:highlight w:val="none"/>
          <w:lang w:bidi="ar"/>
        </w:rPr>
        <w:t>.3  现场合作</w:t>
      </w:r>
      <w:bookmarkEnd w:id="1536"/>
      <w:bookmarkEnd w:id="1537"/>
      <w:bookmarkEnd w:id="1538"/>
      <w:bookmarkEnd w:id="1539"/>
      <w:bookmarkEnd w:id="1540"/>
      <w:bookmarkEnd w:id="1541"/>
      <w:bookmarkEnd w:id="1542"/>
      <w:bookmarkEnd w:id="1543"/>
    </w:p>
    <w:p w14:paraId="054D04D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承包人应按合同约定或发包人的指示，与发包人人员、发包人的其他承包人等人员就在现场或附近实施与工程有关的各项工作进行合作并提供适当条件，包括使用承包人设备、临时工程或进入现场等。</w:t>
      </w:r>
    </w:p>
    <w:p w14:paraId="503563C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承包人应对其在现场的施工活动负责，并应尽合理努力按合同约定或发包人的指示，协调自身与发包人人员、发包人的其他承包人等人员的活动。</w:t>
      </w:r>
    </w:p>
    <w:p w14:paraId="59643F0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除专用合同条件另有约定外，如果承包人提供上述合作、条件或协调在考虑到《发包人要求》所列内容的情况下是不可预见的，则因此延误的工期应相应顺延。</w:t>
      </w:r>
    </w:p>
    <w:p w14:paraId="5E8B590F">
      <w:pPr>
        <w:widowControl/>
        <w:wordWrap w:val="0"/>
        <w:topLinePunct/>
        <w:adjustRightInd w:val="0"/>
        <w:snapToGrid w:val="0"/>
        <w:spacing w:after="163" w:afterLines="50" w:line="360" w:lineRule="auto"/>
        <w:outlineLvl w:val="2"/>
        <w:rPr>
          <w:rFonts w:ascii="宋体" w:hAnsi="宋体" w:cs="宋体"/>
          <w:color w:val="auto"/>
          <w:highlight w:val="none"/>
        </w:rPr>
      </w:pPr>
      <w:bookmarkStart w:id="1544" w:name="_Toc20171780"/>
      <w:bookmarkEnd w:id="1544"/>
      <w:bookmarkStart w:id="1545" w:name="_Ref531954285"/>
      <w:bookmarkEnd w:id="1545"/>
      <w:bookmarkStart w:id="1546" w:name="_Ref531954287"/>
      <w:bookmarkStart w:id="1547" w:name="_Toc29351"/>
      <w:bookmarkStart w:id="1548" w:name="_Toc170932500"/>
      <w:bookmarkStart w:id="1549" w:name="_Toc31252"/>
      <w:bookmarkStart w:id="1550" w:name="_Toc58860219"/>
      <w:bookmarkStart w:id="1551" w:name="_Toc6876"/>
      <w:bookmarkStart w:id="1552" w:name="_Toc84930769"/>
      <w:bookmarkStart w:id="1553" w:name="_Toc11505"/>
      <w:bookmarkStart w:id="1554" w:name="_Toc51766632"/>
      <w:r>
        <w:rPr>
          <w:rFonts w:hint="eastAsia" w:ascii="宋体" w:hAnsi="宋体" w:cs="宋体"/>
          <w:color w:val="auto"/>
          <w:szCs w:val="21"/>
          <w:highlight w:val="none"/>
          <w:lang w:bidi="ar"/>
        </w:rPr>
        <w:t>7</w:t>
      </w:r>
      <w:bookmarkEnd w:id="1546"/>
      <w:r>
        <w:rPr>
          <w:rFonts w:hint="eastAsia" w:ascii="宋体" w:hAnsi="宋体" w:cs="宋体"/>
          <w:color w:val="auto"/>
          <w:szCs w:val="21"/>
          <w:highlight w:val="none"/>
          <w:lang w:bidi="ar"/>
        </w:rPr>
        <w:t>.4  测量放线</w:t>
      </w:r>
      <w:bookmarkEnd w:id="1547"/>
      <w:bookmarkEnd w:id="1548"/>
      <w:bookmarkEnd w:id="1549"/>
      <w:bookmarkEnd w:id="1550"/>
      <w:bookmarkEnd w:id="1551"/>
      <w:bookmarkEnd w:id="1552"/>
      <w:bookmarkEnd w:id="1553"/>
      <w:bookmarkEnd w:id="1554"/>
    </w:p>
    <w:p w14:paraId="5AE47953">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7.4.1除专用合同条件另有约定外，承包人应根据国家测绘基准、测绘系统和工程测量技术规范，按基准点（线）以及合同工程精度要求，测设施工控制网，并在专用合同条件约定的期限内，将施工控制网资料报送工程师。</w:t>
      </w:r>
    </w:p>
    <w:p w14:paraId="0F7FBDF4">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7.4.2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548854D6">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7.4.3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6277BD35">
      <w:pPr>
        <w:widowControl/>
        <w:wordWrap w:val="0"/>
        <w:topLinePunct/>
        <w:adjustRightInd w:val="0"/>
        <w:snapToGrid w:val="0"/>
        <w:spacing w:after="163" w:afterLines="50" w:line="360" w:lineRule="auto"/>
        <w:outlineLvl w:val="2"/>
        <w:rPr>
          <w:rFonts w:ascii="宋体" w:hAnsi="宋体" w:cs="宋体"/>
          <w:color w:val="auto"/>
          <w:highlight w:val="none"/>
        </w:rPr>
      </w:pPr>
      <w:bookmarkStart w:id="1555" w:name="_Toc20171781"/>
      <w:bookmarkEnd w:id="1555"/>
      <w:bookmarkStart w:id="1556" w:name="_Ref531954323"/>
      <w:bookmarkEnd w:id="1556"/>
      <w:bookmarkStart w:id="1557" w:name="_Ref531954329"/>
      <w:bookmarkEnd w:id="1557"/>
      <w:bookmarkStart w:id="1558" w:name="_Ref4770992"/>
      <w:bookmarkStart w:id="1559" w:name="_Toc58860220"/>
      <w:bookmarkStart w:id="1560" w:name="_Toc7209"/>
      <w:bookmarkStart w:id="1561" w:name="_Toc84930770"/>
      <w:bookmarkStart w:id="1562" w:name="_Toc31565"/>
      <w:bookmarkStart w:id="1563" w:name="_Toc170932501"/>
      <w:bookmarkStart w:id="1564" w:name="_Toc3085"/>
      <w:bookmarkStart w:id="1565" w:name="_Toc12850"/>
      <w:bookmarkStart w:id="1566" w:name="_Toc51766633"/>
      <w:r>
        <w:rPr>
          <w:rFonts w:hint="eastAsia" w:ascii="宋体" w:hAnsi="宋体" w:cs="宋体"/>
          <w:color w:val="auto"/>
          <w:szCs w:val="21"/>
          <w:highlight w:val="none"/>
          <w:lang w:bidi="ar"/>
        </w:rPr>
        <w:t>7</w:t>
      </w:r>
      <w:bookmarkEnd w:id="1558"/>
      <w:r>
        <w:rPr>
          <w:rFonts w:hint="eastAsia" w:ascii="宋体" w:hAnsi="宋体" w:cs="宋体"/>
          <w:color w:val="auto"/>
          <w:szCs w:val="21"/>
          <w:highlight w:val="none"/>
          <w:lang w:bidi="ar"/>
        </w:rPr>
        <w:t>.5  现场劳动用工</w:t>
      </w:r>
      <w:bookmarkEnd w:id="1559"/>
      <w:bookmarkEnd w:id="1560"/>
      <w:bookmarkEnd w:id="1561"/>
      <w:bookmarkEnd w:id="1562"/>
      <w:bookmarkEnd w:id="1563"/>
      <w:bookmarkEnd w:id="1564"/>
      <w:bookmarkEnd w:id="1565"/>
      <w:bookmarkEnd w:id="1566"/>
    </w:p>
    <w:p w14:paraId="1EA2A89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7.5.1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49DED31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7.5.2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2165D96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7.5.3承包人应当按照相关法律法规的要求，进行劳动用工管理和建筑工人工资支付。</w:t>
      </w:r>
    </w:p>
    <w:p w14:paraId="49328013">
      <w:pPr>
        <w:widowControl/>
        <w:wordWrap w:val="0"/>
        <w:topLinePunct/>
        <w:adjustRightInd w:val="0"/>
        <w:snapToGrid w:val="0"/>
        <w:spacing w:after="163" w:afterLines="50" w:line="360" w:lineRule="auto"/>
        <w:outlineLvl w:val="2"/>
        <w:rPr>
          <w:rFonts w:ascii="宋体" w:hAnsi="宋体" w:cs="宋体"/>
          <w:color w:val="auto"/>
          <w:highlight w:val="none"/>
        </w:rPr>
      </w:pPr>
      <w:bookmarkStart w:id="1567" w:name="_Ref41554059"/>
      <w:bookmarkEnd w:id="1567"/>
      <w:bookmarkStart w:id="1568" w:name="_Toc58860221"/>
      <w:bookmarkStart w:id="1569" w:name="_Toc51766634"/>
      <w:bookmarkStart w:id="1570" w:name="_Toc19772"/>
      <w:bookmarkStart w:id="1571" w:name="_Toc29607"/>
      <w:bookmarkStart w:id="1572" w:name="_Toc170932502"/>
      <w:bookmarkStart w:id="1573" w:name="_Toc27702"/>
      <w:bookmarkStart w:id="1574" w:name="_Toc22197"/>
      <w:bookmarkStart w:id="1575" w:name="_Toc84930771"/>
      <w:r>
        <w:rPr>
          <w:rFonts w:hint="eastAsia" w:ascii="宋体" w:hAnsi="宋体" w:cs="宋体"/>
          <w:color w:val="auto"/>
          <w:szCs w:val="21"/>
          <w:highlight w:val="none"/>
          <w:lang w:bidi="ar"/>
        </w:rPr>
        <w:t>7.6  安全文明施工</w:t>
      </w:r>
      <w:bookmarkEnd w:id="1568"/>
      <w:bookmarkEnd w:id="1569"/>
      <w:bookmarkEnd w:id="1570"/>
      <w:bookmarkEnd w:id="1571"/>
      <w:bookmarkEnd w:id="1572"/>
      <w:bookmarkEnd w:id="1573"/>
      <w:bookmarkEnd w:id="1574"/>
      <w:bookmarkEnd w:id="1575"/>
    </w:p>
    <w:p w14:paraId="06A18756">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76" w:name="_Ref18990822"/>
      <w:bookmarkEnd w:id="1576"/>
      <w:r>
        <w:rPr>
          <w:rFonts w:hint="eastAsia" w:ascii="宋体" w:hAnsi="宋体" w:cs="宋体"/>
          <w:color w:val="auto"/>
          <w:szCs w:val="21"/>
          <w:highlight w:val="none"/>
          <w:lang w:bidi="ar"/>
        </w:rPr>
        <w:t>7.6.1安全生产要求</w:t>
      </w:r>
    </w:p>
    <w:p w14:paraId="70F1969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7CB0ACC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696BB8A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因安全生产需要暂停施工的，按照第8.9款[暂停工作]的约定执行。</w:t>
      </w:r>
    </w:p>
    <w:p w14:paraId="4EF3D41E">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7.6.2安全生产保证措施</w:t>
      </w:r>
    </w:p>
    <w:p w14:paraId="2EF2B0A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31208F4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542F2ED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4169D344">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577" w:name="_Ref18990840"/>
      <w:bookmarkEnd w:id="1577"/>
      <w:r>
        <w:rPr>
          <w:rFonts w:hint="eastAsia" w:ascii="宋体" w:hAnsi="宋体" w:cs="宋体"/>
          <w:color w:val="auto"/>
          <w:szCs w:val="21"/>
          <w:highlight w:val="none"/>
          <w:lang w:bidi="ar"/>
        </w:rPr>
        <w:t>7.6.3文明施工</w:t>
      </w:r>
    </w:p>
    <w:p w14:paraId="3D88AD1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43E43B6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79A1A94">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7.6.4事故处理</w:t>
      </w:r>
    </w:p>
    <w:p w14:paraId="6CD9BD75">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2E5A1AE">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2F5527EC">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7.6.5安全生产责任</w:t>
      </w:r>
    </w:p>
    <w:p w14:paraId="6756ACE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发包人应负责赔偿以下各种情况造成的损失：</w:t>
      </w:r>
    </w:p>
    <w:p w14:paraId="394D61E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（1）工程或工程的任何部分对土地的占用所造成的第三者财产损失；</w:t>
      </w:r>
    </w:p>
    <w:p w14:paraId="7BDA800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（2）由于发包人原因在施工现场及其毗邻地带、履行合同工作中造成的第三者人身伤亡和财产损失；</w:t>
      </w:r>
    </w:p>
    <w:p w14:paraId="5D57E19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（3）由于发包人原因对发包人自身、承包人、工程师造成的人身伤害和财产损失。</w:t>
      </w:r>
    </w:p>
    <w:p w14:paraId="33181E3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承包人应负责赔偿由于承包人原因在施工现场及其毗邻地带、履行合同工作中造成的第三者人身伤亡和财产损失。</w:t>
      </w:r>
    </w:p>
    <w:p w14:paraId="32B87D5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如果上述损失是由于发包人和承包人共同原因导致的，则双方应根据过错情况按比例承担。</w:t>
      </w:r>
    </w:p>
    <w:p w14:paraId="6FCB3A7D">
      <w:pPr>
        <w:widowControl/>
        <w:wordWrap w:val="0"/>
        <w:topLinePunct/>
        <w:adjustRightInd w:val="0"/>
        <w:snapToGrid w:val="0"/>
        <w:spacing w:after="163" w:afterLines="50" w:line="360" w:lineRule="auto"/>
        <w:outlineLvl w:val="2"/>
        <w:rPr>
          <w:rFonts w:ascii="宋体" w:hAnsi="宋体" w:cs="宋体"/>
          <w:color w:val="auto"/>
          <w:highlight w:val="none"/>
        </w:rPr>
      </w:pPr>
      <w:bookmarkStart w:id="1578" w:name="_Toc20171782"/>
      <w:bookmarkEnd w:id="1578"/>
      <w:bookmarkStart w:id="1579" w:name="_Ref11874562"/>
      <w:bookmarkEnd w:id="1579"/>
      <w:bookmarkStart w:id="1580" w:name="_Ref41554069"/>
      <w:bookmarkStart w:id="1581" w:name="_Toc10762"/>
      <w:bookmarkStart w:id="1582" w:name="_Toc170932503"/>
      <w:bookmarkStart w:id="1583" w:name="_Toc51766635"/>
      <w:bookmarkStart w:id="1584" w:name="_Toc58860222"/>
      <w:bookmarkStart w:id="1585" w:name="_Toc84930772"/>
      <w:bookmarkStart w:id="1586" w:name="_Toc5946"/>
      <w:bookmarkStart w:id="1587" w:name="_Toc5755"/>
      <w:bookmarkStart w:id="1588" w:name="_Toc19174"/>
      <w:r>
        <w:rPr>
          <w:rFonts w:hint="eastAsia" w:ascii="宋体" w:hAnsi="宋体" w:cs="宋体"/>
          <w:color w:val="auto"/>
          <w:szCs w:val="21"/>
          <w:highlight w:val="none"/>
          <w:lang w:bidi="ar"/>
        </w:rPr>
        <w:t xml:space="preserve">7.7  </w:t>
      </w:r>
      <w:bookmarkEnd w:id="1580"/>
      <w:r>
        <w:rPr>
          <w:rFonts w:hint="eastAsia" w:ascii="宋体" w:hAnsi="宋体" w:cs="宋体"/>
          <w:color w:val="auto"/>
          <w:szCs w:val="21"/>
          <w:highlight w:val="none"/>
          <w:lang w:bidi="ar"/>
        </w:rPr>
        <w:t>职业健康</w:t>
      </w:r>
      <w:bookmarkEnd w:id="1581"/>
      <w:bookmarkEnd w:id="1582"/>
      <w:bookmarkEnd w:id="1583"/>
      <w:bookmarkEnd w:id="1584"/>
      <w:bookmarkEnd w:id="1585"/>
      <w:bookmarkEnd w:id="1586"/>
      <w:bookmarkEnd w:id="1587"/>
      <w:bookmarkEnd w:id="1588"/>
    </w:p>
    <w:p w14:paraId="1106EF7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承包人应遵守适用的职业健康的法律和合同约定（包括对雇用、职业健康、安全、福利等方面的规定），负责现场实施过程中其人员的职业健康和保护，包括：</w:t>
      </w:r>
    </w:p>
    <w:p w14:paraId="7AA506C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41E7294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6446351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35A6524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13ED81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500E05CE">
      <w:pPr>
        <w:widowControl/>
        <w:wordWrap w:val="0"/>
        <w:topLinePunct/>
        <w:adjustRightInd w:val="0"/>
        <w:snapToGrid w:val="0"/>
        <w:spacing w:after="163" w:afterLines="50" w:line="360" w:lineRule="auto"/>
        <w:outlineLvl w:val="2"/>
        <w:rPr>
          <w:rFonts w:ascii="宋体" w:hAnsi="宋体" w:cs="宋体"/>
          <w:color w:val="auto"/>
          <w:highlight w:val="none"/>
        </w:rPr>
      </w:pPr>
      <w:bookmarkStart w:id="1589" w:name="_Toc20171783"/>
      <w:bookmarkEnd w:id="1589"/>
      <w:bookmarkStart w:id="1590" w:name="_Ref11874570"/>
      <w:bookmarkStart w:id="1591" w:name="_Toc13703"/>
      <w:bookmarkStart w:id="1592" w:name="_Toc8767"/>
      <w:bookmarkStart w:id="1593" w:name="_Toc84930773"/>
      <w:bookmarkStart w:id="1594" w:name="_Toc51766636"/>
      <w:bookmarkStart w:id="1595" w:name="_Toc10977"/>
      <w:bookmarkStart w:id="1596" w:name="_Toc11795"/>
      <w:bookmarkStart w:id="1597" w:name="_Toc170932504"/>
      <w:bookmarkStart w:id="1598" w:name="_Toc58860223"/>
      <w:r>
        <w:rPr>
          <w:rFonts w:hint="eastAsia" w:ascii="宋体" w:hAnsi="宋体" w:cs="宋体"/>
          <w:color w:val="auto"/>
          <w:szCs w:val="21"/>
          <w:highlight w:val="none"/>
          <w:lang w:bidi="ar"/>
        </w:rPr>
        <w:t>7</w:t>
      </w:r>
      <w:bookmarkEnd w:id="1590"/>
      <w:r>
        <w:rPr>
          <w:rFonts w:hint="eastAsia" w:ascii="宋体" w:hAnsi="宋体" w:cs="宋体"/>
          <w:color w:val="auto"/>
          <w:szCs w:val="21"/>
          <w:highlight w:val="none"/>
          <w:lang w:bidi="ar"/>
        </w:rPr>
        <w:t>.8  环境保护</w:t>
      </w:r>
      <w:bookmarkEnd w:id="1591"/>
      <w:bookmarkEnd w:id="1592"/>
      <w:bookmarkEnd w:id="1593"/>
      <w:bookmarkEnd w:id="1594"/>
      <w:bookmarkEnd w:id="1595"/>
      <w:bookmarkEnd w:id="1596"/>
      <w:bookmarkEnd w:id="1597"/>
      <w:bookmarkEnd w:id="1598"/>
    </w:p>
    <w:p w14:paraId="674D57D0">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7.8.1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06AB070A">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7.8.2承包人应采取措施，并负责控制和（或）处理现场的粉尘、废气、废水、固体废物和噪声对环境的污染和危害。因此发生的伤害、赔偿、罚款等费用增加，和（或）竣工日期延误，由承包人负责。</w:t>
      </w:r>
    </w:p>
    <w:p w14:paraId="66728D7A">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7.8.3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5AAFFEE2">
      <w:pPr>
        <w:widowControl/>
        <w:wordWrap w:val="0"/>
        <w:topLinePunct/>
        <w:adjustRightInd w:val="0"/>
        <w:snapToGrid w:val="0"/>
        <w:spacing w:after="163" w:afterLines="50" w:line="360" w:lineRule="auto"/>
        <w:outlineLvl w:val="2"/>
        <w:rPr>
          <w:rFonts w:ascii="宋体" w:hAnsi="宋体" w:cs="宋体"/>
          <w:color w:val="auto"/>
          <w:highlight w:val="none"/>
        </w:rPr>
      </w:pPr>
      <w:bookmarkStart w:id="1599" w:name="_Ref531954344"/>
      <w:bookmarkEnd w:id="1599"/>
      <w:bookmarkStart w:id="1600" w:name="_Ref531954340"/>
      <w:bookmarkEnd w:id="1600"/>
      <w:bookmarkStart w:id="1601" w:name="_Toc20171784"/>
      <w:bookmarkEnd w:id="1601"/>
      <w:bookmarkStart w:id="1602" w:name="_Ref4771116"/>
      <w:bookmarkStart w:id="1603" w:name="_Toc58860224"/>
      <w:bookmarkStart w:id="1604" w:name="_Toc9742"/>
      <w:bookmarkStart w:id="1605" w:name="_Toc84930774"/>
      <w:bookmarkStart w:id="1606" w:name="_Toc25125"/>
      <w:bookmarkStart w:id="1607" w:name="_Toc170932505"/>
      <w:bookmarkStart w:id="1608" w:name="_Toc57"/>
      <w:bookmarkStart w:id="1609" w:name="_Toc51766637"/>
      <w:bookmarkStart w:id="1610" w:name="_Toc3129"/>
      <w:r>
        <w:rPr>
          <w:rFonts w:hint="eastAsia" w:ascii="宋体" w:hAnsi="宋体" w:cs="宋体"/>
          <w:color w:val="auto"/>
          <w:szCs w:val="21"/>
          <w:highlight w:val="none"/>
          <w:lang w:bidi="ar"/>
        </w:rPr>
        <w:t>7</w:t>
      </w:r>
      <w:bookmarkEnd w:id="1602"/>
      <w:r>
        <w:rPr>
          <w:rFonts w:hint="eastAsia" w:ascii="宋体" w:hAnsi="宋体" w:cs="宋体"/>
          <w:color w:val="auto"/>
          <w:szCs w:val="21"/>
          <w:highlight w:val="none"/>
          <w:lang w:bidi="ar"/>
        </w:rPr>
        <w:t>.9  临时性公用设施</w:t>
      </w:r>
      <w:bookmarkEnd w:id="1603"/>
      <w:bookmarkEnd w:id="1604"/>
      <w:bookmarkEnd w:id="1605"/>
      <w:bookmarkEnd w:id="1606"/>
      <w:bookmarkEnd w:id="1607"/>
      <w:bookmarkEnd w:id="1608"/>
      <w:bookmarkEnd w:id="1609"/>
      <w:bookmarkEnd w:id="1610"/>
      <w:r>
        <w:rPr>
          <w:rFonts w:hint="eastAsia" w:ascii="宋体" w:hAnsi="宋体" w:cs="宋体"/>
          <w:color w:val="auto"/>
          <w:szCs w:val="21"/>
          <w:highlight w:val="none"/>
          <w:lang w:bidi="ar"/>
        </w:rPr>
        <w:t xml:space="preserve"> </w:t>
      </w:r>
    </w:p>
    <w:p w14:paraId="3492BD43">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7.9.1提供临时用水、用电等和节点铺设</w:t>
      </w:r>
    </w:p>
    <w:p w14:paraId="6F724D3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36CEE64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046EBDEB">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7.9.2临时用水、用电等</w:t>
      </w:r>
    </w:p>
    <w:p w14:paraId="4284F61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6885CDB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因承包人未能按合同约定提交上述资料，造成发包人费用增加和竣工日期延误时，由承包人负责。</w:t>
      </w:r>
      <w:bookmarkStart w:id="1611" w:name="_Ref508893743"/>
      <w:bookmarkEnd w:id="1611"/>
    </w:p>
    <w:p w14:paraId="18E4104D">
      <w:pPr>
        <w:widowControl/>
        <w:wordWrap w:val="0"/>
        <w:topLinePunct/>
        <w:adjustRightInd w:val="0"/>
        <w:snapToGrid w:val="0"/>
        <w:spacing w:after="163" w:afterLines="50" w:line="360" w:lineRule="auto"/>
        <w:outlineLvl w:val="2"/>
        <w:rPr>
          <w:rFonts w:ascii="宋体" w:hAnsi="宋体" w:cs="宋体"/>
          <w:color w:val="auto"/>
          <w:highlight w:val="none"/>
        </w:rPr>
      </w:pPr>
      <w:bookmarkStart w:id="1612" w:name="_Ref531952239"/>
      <w:bookmarkEnd w:id="1612"/>
      <w:bookmarkStart w:id="1613" w:name="_Ref531952248"/>
      <w:bookmarkEnd w:id="1613"/>
      <w:bookmarkStart w:id="1614" w:name="_Toc20171785"/>
      <w:bookmarkStart w:id="1615" w:name="_Toc12305"/>
      <w:bookmarkStart w:id="1616" w:name="_Toc1222"/>
      <w:bookmarkStart w:id="1617" w:name="_Toc32634"/>
      <w:bookmarkStart w:id="1618" w:name="_Toc84930775"/>
      <w:bookmarkStart w:id="1619" w:name="_Toc51766638"/>
      <w:bookmarkStart w:id="1620" w:name="_Toc8206"/>
      <w:bookmarkStart w:id="1621" w:name="_Toc170932506"/>
      <w:bookmarkStart w:id="1622" w:name="_Toc58860225"/>
      <w:r>
        <w:rPr>
          <w:rFonts w:hint="eastAsia" w:ascii="宋体" w:hAnsi="宋体" w:cs="宋体"/>
          <w:color w:val="auto"/>
          <w:szCs w:val="21"/>
          <w:highlight w:val="none"/>
          <w:lang w:bidi="ar"/>
        </w:rPr>
        <w:t>7</w:t>
      </w:r>
      <w:bookmarkEnd w:id="1614"/>
      <w:r>
        <w:rPr>
          <w:rFonts w:hint="eastAsia" w:ascii="宋体" w:hAnsi="宋体" w:cs="宋体"/>
          <w:color w:val="auto"/>
          <w:szCs w:val="21"/>
          <w:highlight w:val="none"/>
          <w:lang w:bidi="ar"/>
        </w:rPr>
        <w:t>.10  现场安保</w:t>
      </w:r>
      <w:bookmarkEnd w:id="1615"/>
      <w:bookmarkEnd w:id="1616"/>
      <w:bookmarkEnd w:id="1617"/>
      <w:bookmarkEnd w:id="1618"/>
      <w:bookmarkEnd w:id="1619"/>
      <w:bookmarkEnd w:id="1620"/>
      <w:bookmarkEnd w:id="1621"/>
      <w:bookmarkEnd w:id="1622"/>
    </w:p>
    <w:p w14:paraId="08508B2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2C5E94D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承包人应将其作业限制在现场区域、合同约定的区域或为履行合同所需的区域内。承包人应采取一切必要的预防措施，以保持承包人的设备和人员处于现场区域内，避免其进入邻近地区。</w:t>
      </w:r>
    </w:p>
    <w:p w14:paraId="1B00584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承包人为履行合同义务而占用的其他场所（如预制加工场所、办公及生活营区） 的安保适用本款前述关于现场安保的规定。</w:t>
      </w:r>
    </w:p>
    <w:p w14:paraId="79979D6E">
      <w:pPr>
        <w:widowControl/>
        <w:wordWrap w:val="0"/>
        <w:topLinePunct/>
        <w:adjustRightInd w:val="0"/>
        <w:snapToGrid w:val="0"/>
        <w:spacing w:after="163" w:afterLines="50" w:line="360" w:lineRule="auto"/>
        <w:outlineLvl w:val="2"/>
        <w:rPr>
          <w:rFonts w:ascii="宋体" w:hAnsi="宋体" w:cs="宋体"/>
          <w:color w:val="auto"/>
          <w:highlight w:val="none"/>
        </w:rPr>
      </w:pPr>
      <w:bookmarkStart w:id="1623" w:name="_Toc20171786"/>
      <w:bookmarkEnd w:id="1623"/>
      <w:bookmarkStart w:id="1624" w:name="_Toc58860226"/>
      <w:bookmarkStart w:id="1625" w:name="_Toc84930776"/>
      <w:bookmarkStart w:id="1626" w:name="_Toc583"/>
      <w:bookmarkStart w:id="1627" w:name="_Toc23374"/>
      <w:bookmarkStart w:id="1628" w:name="_Toc23509"/>
      <w:bookmarkStart w:id="1629" w:name="_Toc6782"/>
      <w:bookmarkStart w:id="1630" w:name="_Toc51766639"/>
      <w:bookmarkStart w:id="1631" w:name="_Toc170932507"/>
      <w:r>
        <w:rPr>
          <w:rFonts w:hint="eastAsia" w:ascii="宋体" w:hAnsi="宋体" w:cs="宋体"/>
          <w:color w:val="auto"/>
          <w:szCs w:val="21"/>
          <w:highlight w:val="none"/>
          <w:lang w:bidi="ar"/>
        </w:rPr>
        <w:t>7.11  工程照管</w:t>
      </w:r>
      <w:bookmarkEnd w:id="1624"/>
      <w:bookmarkEnd w:id="1625"/>
      <w:bookmarkEnd w:id="1626"/>
      <w:bookmarkEnd w:id="1627"/>
      <w:bookmarkEnd w:id="1628"/>
      <w:bookmarkEnd w:id="1629"/>
      <w:bookmarkEnd w:id="1630"/>
      <w:bookmarkEnd w:id="1631"/>
    </w:p>
    <w:p w14:paraId="71D92A8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自开始现场施工日期起至发包人应当接收工程之日止，承包人应承担工程现场、材料、设备及承包人文件的照管和维护工作。</w:t>
      </w:r>
    </w:p>
    <w:p w14:paraId="3A2B176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如部分工程于竣工验收前提前交付发包人的，则自交付之日起，该部分工程照管及维护职责由发包人承担。</w:t>
      </w:r>
    </w:p>
    <w:p w14:paraId="27D13BB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如发包人及承包人进行竣工验收时尚有部分未竣工工程的，承包人应负责该未竣工工程的照管和维护工作，直至竣工后移交给发包人。</w:t>
      </w:r>
    </w:p>
    <w:p w14:paraId="2519159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如合同解除或终止的，承包人自合同解除或终止之日起不再对工程承担照管和维护义务。</w:t>
      </w:r>
    </w:p>
    <w:p w14:paraId="300A92C8">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632" w:name="_Toc20171787"/>
      <w:bookmarkEnd w:id="1632"/>
      <w:bookmarkStart w:id="1633" w:name="_Ref531954518"/>
      <w:bookmarkEnd w:id="1633"/>
      <w:bookmarkStart w:id="1634" w:name="_Ref508998009"/>
      <w:bookmarkEnd w:id="1634"/>
      <w:bookmarkStart w:id="1635" w:name="_Ref531954505"/>
      <w:bookmarkStart w:id="1636" w:name="_Toc20559"/>
      <w:bookmarkStart w:id="1637" w:name="_Toc170932508"/>
      <w:r>
        <w:rPr>
          <w:rFonts w:hint="eastAsia" w:ascii="宋体" w:hAnsi="宋体" w:cs="宋体"/>
          <w:color w:val="auto"/>
          <w:kern w:val="0"/>
          <w:szCs w:val="21"/>
          <w:highlight w:val="none"/>
          <w:lang w:bidi="ar"/>
        </w:rPr>
        <w:t>第</w:t>
      </w:r>
      <w:bookmarkEnd w:id="1635"/>
      <w:r>
        <w:rPr>
          <w:rFonts w:hint="eastAsia" w:ascii="宋体" w:hAnsi="宋体" w:cs="宋体"/>
          <w:color w:val="auto"/>
          <w:kern w:val="0"/>
          <w:szCs w:val="21"/>
          <w:highlight w:val="none"/>
          <w:lang w:bidi="ar"/>
        </w:rPr>
        <w:t>8条  工期和进度</w:t>
      </w:r>
      <w:bookmarkEnd w:id="1636"/>
      <w:bookmarkEnd w:id="1637"/>
    </w:p>
    <w:p w14:paraId="48AFC338">
      <w:pPr>
        <w:widowControl/>
        <w:wordWrap w:val="0"/>
        <w:topLinePunct/>
        <w:adjustRightInd w:val="0"/>
        <w:snapToGrid w:val="0"/>
        <w:spacing w:after="163" w:afterLines="50" w:line="360" w:lineRule="auto"/>
        <w:outlineLvl w:val="2"/>
        <w:rPr>
          <w:rFonts w:ascii="宋体" w:hAnsi="宋体" w:cs="宋体"/>
          <w:color w:val="auto"/>
          <w:highlight w:val="none"/>
        </w:rPr>
      </w:pPr>
      <w:bookmarkStart w:id="1638" w:name="_Ref532362774"/>
      <w:bookmarkEnd w:id="1638"/>
      <w:bookmarkStart w:id="1639" w:name="_Ref532362777"/>
      <w:bookmarkEnd w:id="1639"/>
      <w:bookmarkStart w:id="1640" w:name="_Ref532362072"/>
      <w:bookmarkEnd w:id="1640"/>
      <w:bookmarkStart w:id="1641" w:name="_Ref532362075"/>
      <w:bookmarkEnd w:id="1641"/>
      <w:bookmarkStart w:id="1642" w:name="_Toc20171788"/>
      <w:bookmarkStart w:id="1643" w:name="_Toc29003"/>
      <w:bookmarkStart w:id="1644" w:name="_Toc170932509"/>
      <w:bookmarkStart w:id="1645" w:name="_Toc30888"/>
      <w:bookmarkStart w:id="1646" w:name="_Toc58860228"/>
      <w:bookmarkStart w:id="1647" w:name="_Toc26285"/>
      <w:bookmarkStart w:id="1648" w:name="_Toc4852"/>
      <w:bookmarkStart w:id="1649" w:name="_Toc51766641"/>
      <w:bookmarkStart w:id="1650" w:name="_Toc84930778"/>
      <w:r>
        <w:rPr>
          <w:rFonts w:hint="eastAsia" w:ascii="宋体" w:hAnsi="宋体" w:cs="宋体"/>
          <w:color w:val="auto"/>
          <w:szCs w:val="21"/>
          <w:highlight w:val="none"/>
          <w:lang w:bidi="ar"/>
        </w:rPr>
        <w:t>8</w:t>
      </w:r>
      <w:bookmarkEnd w:id="1642"/>
      <w:r>
        <w:rPr>
          <w:rFonts w:hint="eastAsia" w:ascii="宋体" w:hAnsi="宋体" w:cs="宋体"/>
          <w:color w:val="auto"/>
          <w:szCs w:val="21"/>
          <w:highlight w:val="none"/>
          <w:lang w:bidi="ar"/>
        </w:rPr>
        <w:t>.1  开始工作</w:t>
      </w:r>
      <w:bookmarkEnd w:id="1643"/>
      <w:bookmarkEnd w:id="1644"/>
      <w:bookmarkEnd w:id="1645"/>
      <w:bookmarkEnd w:id="1646"/>
      <w:bookmarkEnd w:id="1647"/>
      <w:bookmarkEnd w:id="1648"/>
      <w:bookmarkEnd w:id="1649"/>
      <w:bookmarkEnd w:id="1650"/>
    </w:p>
    <w:p w14:paraId="5862BBDD">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651" w:name="_Ref4428890"/>
      <w:bookmarkEnd w:id="1651"/>
      <w:r>
        <w:rPr>
          <w:rFonts w:hint="eastAsia" w:ascii="宋体" w:hAnsi="宋体" w:cs="宋体"/>
          <w:color w:val="auto"/>
          <w:szCs w:val="21"/>
          <w:highlight w:val="none"/>
          <w:lang w:bidi="ar"/>
        </w:rPr>
        <w:t>8.1.1开始工作准备</w:t>
      </w:r>
    </w:p>
    <w:p w14:paraId="2EE46DF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合同当事人应按专用合同条件约定完成开始工作准备工作。</w:t>
      </w:r>
    </w:p>
    <w:p w14:paraId="5597E0F0">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652" w:name="_Ref536790534"/>
      <w:bookmarkEnd w:id="1652"/>
      <w:r>
        <w:rPr>
          <w:rFonts w:hint="eastAsia" w:ascii="宋体" w:hAnsi="宋体" w:cs="宋体"/>
          <w:color w:val="auto"/>
          <w:szCs w:val="21"/>
          <w:highlight w:val="none"/>
          <w:lang w:bidi="ar"/>
        </w:rPr>
        <w:t>8.1.2开始工作通知</w:t>
      </w:r>
    </w:p>
    <w:p w14:paraId="1179FFC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经发包人同意后，工程师应提前7天向承包人发出经发包人签认的开始工作通知，工期自开始工作通知中载明的开始工作日期起算。</w:t>
      </w:r>
    </w:p>
    <w:p w14:paraId="071DBF1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因发包人原因造成实际开始现场施工日期迟于计划开始现场施工日期后第84天的，承包人有权提出价格调整要求，或者解除合同。发包人应当承担由此增加的费用和（或）延误的工期。</w:t>
      </w:r>
    </w:p>
    <w:p w14:paraId="35671334">
      <w:pPr>
        <w:widowControl/>
        <w:wordWrap w:val="0"/>
        <w:topLinePunct/>
        <w:adjustRightInd w:val="0"/>
        <w:snapToGrid w:val="0"/>
        <w:spacing w:after="163" w:afterLines="50" w:line="360" w:lineRule="auto"/>
        <w:outlineLvl w:val="2"/>
        <w:rPr>
          <w:rFonts w:ascii="宋体" w:hAnsi="宋体" w:cs="宋体"/>
          <w:color w:val="auto"/>
          <w:highlight w:val="none"/>
        </w:rPr>
      </w:pPr>
      <w:bookmarkStart w:id="1653" w:name="_Toc20171789"/>
      <w:bookmarkEnd w:id="1653"/>
      <w:bookmarkStart w:id="1654" w:name="_Ref532362124"/>
      <w:bookmarkStart w:id="1655" w:name="_Toc18067"/>
      <w:bookmarkStart w:id="1656" w:name="_Toc14196"/>
      <w:bookmarkStart w:id="1657" w:name="_Toc170932510"/>
      <w:bookmarkStart w:id="1658" w:name="_Toc84930779"/>
      <w:bookmarkStart w:id="1659" w:name="_Toc25430"/>
      <w:bookmarkStart w:id="1660" w:name="_Toc51766642"/>
      <w:bookmarkStart w:id="1661" w:name="_Toc16878"/>
      <w:bookmarkStart w:id="1662" w:name="_Toc58860229"/>
      <w:r>
        <w:rPr>
          <w:rFonts w:hint="eastAsia" w:ascii="宋体" w:hAnsi="宋体" w:cs="宋体"/>
          <w:color w:val="auto"/>
          <w:szCs w:val="21"/>
          <w:highlight w:val="none"/>
          <w:lang w:bidi="ar"/>
        </w:rPr>
        <w:t>8</w:t>
      </w:r>
      <w:bookmarkEnd w:id="1654"/>
      <w:r>
        <w:rPr>
          <w:rFonts w:hint="eastAsia" w:ascii="宋体" w:hAnsi="宋体" w:cs="宋体"/>
          <w:color w:val="auto"/>
          <w:szCs w:val="21"/>
          <w:highlight w:val="none"/>
          <w:lang w:bidi="ar"/>
        </w:rPr>
        <w:t>.2  竣工日期</w:t>
      </w:r>
      <w:bookmarkEnd w:id="1655"/>
      <w:bookmarkEnd w:id="1656"/>
      <w:bookmarkEnd w:id="1657"/>
      <w:bookmarkEnd w:id="1658"/>
      <w:bookmarkEnd w:id="1659"/>
      <w:bookmarkEnd w:id="1660"/>
      <w:bookmarkEnd w:id="1661"/>
      <w:bookmarkEnd w:id="1662"/>
      <w:r>
        <w:rPr>
          <w:rFonts w:hint="eastAsia" w:ascii="宋体" w:hAnsi="宋体" w:cs="宋体"/>
          <w:color w:val="auto"/>
          <w:szCs w:val="21"/>
          <w:highlight w:val="none"/>
          <w:lang w:bidi="ar"/>
        </w:rPr>
        <w:t xml:space="preserve"> </w:t>
      </w:r>
    </w:p>
    <w:p w14:paraId="41F279B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承包人应在合同协议书约定的工期内完成合同工作。除专用合同条件另有约定外，工程的竣工日期以第10.1条[竣工验收]的约定为准，并在工程接收证书中写明。</w:t>
      </w:r>
    </w:p>
    <w:p w14:paraId="5F3D07C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因发包人原因，在工程师收到承包人竣工验收申请报告42天后未进行验收的，视为验收合格，实际竣工日期以提交竣工验收申请报告的日期为准，但发包人由于不可抗力不能进行验收的除外。</w:t>
      </w:r>
    </w:p>
    <w:p w14:paraId="5E9C84B2">
      <w:pPr>
        <w:widowControl/>
        <w:wordWrap w:val="0"/>
        <w:topLinePunct/>
        <w:adjustRightInd w:val="0"/>
        <w:snapToGrid w:val="0"/>
        <w:spacing w:after="163" w:afterLines="50" w:line="360" w:lineRule="auto"/>
        <w:outlineLvl w:val="2"/>
        <w:rPr>
          <w:rFonts w:ascii="宋体" w:hAnsi="宋体" w:cs="宋体"/>
          <w:color w:val="auto"/>
          <w:highlight w:val="none"/>
        </w:rPr>
      </w:pPr>
      <w:bookmarkStart w:id="1663" w:name="_Toc20171790"/>
      <w:bookmarkEnd w:id="1663"/>
      <w:bookmarkStart w:id="1664" w:name="_Ref532352856"/>
      <w:bookmarkEnd w:id="1664"/>
      <w:bookmarkStart w:id="1665" w:name="_Ref11863334"/>
      <w:bookmarkEnd w:id="1665"/>
      <w:bookmarkStart w:id="1666" w:name="_Ref532352853"/>
      <w:bookmarkEnd w:id="1666"/>
      <w:bookmarkStart w:id="1667" w:name="_Ref532362204"/>
      <w:bookmarkEnd w:id="1667"/>
      <w:bookmarkStart w:id="1668" w:name="_Ref532362207"/>
      <w:bookmarkStart w:id="1669" w:name="_Toc32669"/>
      <w:bookmarkStart w:id="1670" w:name="_Toc170932511"/>
      <w:bookmarkStart w:id="1671" w:name="_Toc84930780"/>
      <w:bookmarkStart w:id="1672" w:name="_Toc51766643"/>
      <w:bookmarkStart w:id="1673" w:name="_Toc30412"/>
      <w:bookmarkStart w:id="1674" w:name="_Toc10701"/>
      <w:bookmarkStart w:id="1675" w:name="_Toc7823"/>
      <w:bookmarkStart w:id="1676" w:name="_Toc58860230"/>
      <w:r>
        <w:rPr>
          <w:rFonts w:hint="eastAsia" w:ascii="宋体" w:hAnsi="宋体" w:cs="宋体"/>
          <w:color w:val="auto"/>
          <w:szCs w:val="21"/>
          <w:highlight w:val="none"/>
          <w:lang w:bidi="ar"/>
        </w:rPr>
        <w:t>8</w:t>
      </w:r>
      <w:bookmarkEnd w:id="1668"/>
      <w:r>
        <w:rPr>
          <w:rFonts w:hint="eastAsia" w:ascii="宋体" w:hAnsi="宋体" w:cs="宋体"/>
          <w:color w:val="auto"/>
          <w:szCs w:val="21"/>
          <w:highlight w:val="none"/>
          <w:lang w:bidi="ar"/>
        </w:rPr>
        <w:t>.3  项目实施计划</w:t>
      </w:r>
      <w:bookmarkEnd w:id="1669"/>
      <w:bookmarkEnd w:id="1670"/>
      <w:bookmarkEnd w:id="1671"/>
      <w:bookmarkEnd w:id="1672"/>
      <w:bookmarkEnd w:id="1673"/>
      <w:bookmarkEnd w:id="1674"/>
      <w:bookmarkEnd w:id="1675"/>
      <w:bookmarkEnd w:id="1676"/>
    </w:p>
    <w:p w14:paraId="727C3414">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677" w:name="_Ref18990904"/>
      <w:bookmarkEnd w:id="1677"/>
      <w:r>
        <w:rPr>
          <w:rFonts w:hint="eastAsia" w:ascii="宋体" w:hAnsi="宋体" w:cs="宋体"/>
          <w:color w:val="auto"/>
          <w:szCs w:val="21"/>
          <w:highlight w:val="none"/>
          <w:lang w:bidi="ar"/>
        </w:rPr>
        <w:t>8.3.1项目实施计划的内容</w:t>
      </w:r>
    </w:p>
    <w:p w14:paraId="3C22754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34C84D61">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678" w:name="_Ref18990921"/>
      <w:bookmarkEnd w:id="1678"/>
      <w:r>
        <w:rPr>
          <w:rFonts w:hint="eastAsia" w:ascii="宋体" w:hAnsi="宋体" w:cs="宋体"/>
          <w:color w:val="auto"/>
          <w:szCs w:val="21"/>
          <w:highlight w:val="none"/>
          <w:lang w:bidi="ar"/>
        </w:rPr>
        <w:t>8.3.2项目实施计划的提交和修改</w:t>
      </w:r>
    </w:p>
    <w:p w14:paraId="395B196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222832C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项目进度计划的编制和修改按照第8.4款[项目进度计划]执行。</w:t>
      </w:r>
    </w:p>
    <w:p w14:paraId="27C81824">
      <w:pPr>
        <w:widowControl/>
        <w:wordWrap w:val="0"/>
        <w:topLinePunct/>
        <w:adjustRightInd w:val="0"/>
        <w:snapToGrid w:val="0"/>
        <w:spacing w:after="163" w:afterLines="50" w:line="360" w:lineRule="auto"/>
        <w:outlineLvl w:val="2"/>
        <w:rPr>
          <w:rFonts w:ascii="宋体" w:hAnsi="宋体" w:cs="宋体"/>
          <w:color w:val="auto"/>
          <w:highlight w:val="none"/>
        </w:rPr>
      </w:pPr>
      <w:bookmarkStart w:id="1679" w:name="_Toc20171791"/>
      <w:bookmarkEnd w:id="1679"/>
      <w:bookmarkStart w:id="1680" w:name="_Ref11865507"/>
      <w:bookmarkStart w:id="1681" w:name="_Toc58860231"/>
      <w:bookmarkStart w:id="1682" w:name="_Toc23351"/>
      <w:bookmarkStart w:id="1683" w:name="_Toc170932512"/>
      <w:bookmarkStart w:id="1684" w:name="_Toc19839"/>
      <w:bookmarkStart w:id="1685" w:name="_Toc21008"/>
      <w:bookmarkStart w:id="1686" w:name="_Toc84930781"/>
      <w:bookmarkStart w:id="1687" w:name="_Toc51766644"/>
      <w:bookmarkStart w:id="1688" w:name="_Toc12274"/>
      <w:r>
        <w:rPr>
          <w:rFonts w:hint="eastAsia" w:ascii="宋体" w:hAnsi="宋体" w:cs="宋体"/>
          <w:color w:val="auto"/>
          <w:szCs w:val="21"/>
          <w:highlight w:val="none"/>
          <w:lang w:bidi="ar"/>
        </w:rPr>
        <w:t>8</w:t>
      </w:r>
      <w:bookmarkEnd w:id="1680"/>
      <w:r>
        <w:rPr>
          <w:rFonts w:hint="eastAsia" w:ascii="宋体" w:hAnsi="宋体" w:cs="宋体"/>
          <w:color w:val="auto"/>
          <w:szCs w:val="21"/>
          <w:highlight w:val="none"/>
          <w:lang w:bidi="ar"/>
        </w:rPr>
        <w:t>.4  项目进度计划</w:t>
      </w:r>
      <w:bookmarkEnd w:id="1681"/>
      <w:bookmarkEnd w:id="1682"/>
      <w:bookmarkEnd w:id="1683"/>
      <w:bookmarkEnd w:id="1684"/>
      <w:bookmarkEnd w:id="1685"/>
      <w:bookmarkEnd w:id="1686"/>
      <w:bookmarkEnd w:id="1687"/>
      <w:bookmarkEnd w:id="1688"/>
    </w:p>
    <w:p w14:paraId="3EB77798">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689" w:name="_Ref4681217"/>
      <w:bookmarkEnd w:id="1689"/>
      <w:r>
        <w:rPr>
          <w:rFonts w:hint="eastAsia" w:ascii="宋体" w:hAnsi="宋体" w:cs="宋体"/>
          <w:color w:val="auto"/>
          <w:szCs w:val="21"/>
          <w:highlight w:val="none"/>
          <w:lang w:bidi="ar"/>
        </w:rPr>
        <w:t>8.4.1项目进度计划的提交和修改</w:t>
      </w:r>
    </w:p>
    <w:p w14:paraId="6CF549C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5D7E3A8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62F7847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690" w:name="_Ref4429079"/>
      <w:bookmarkEnd w:id="1690"/>
      <w:r>
        <w:rPr>
          <w:rFonts w:hint="eastAsia" w:ascii="宋体" w:hAnsi="宋体" w:cs="宋体"/>
          <w:color w:val="auto"/>
          <w:szCs w:val="21"/>
          <w:highlight w:val="none"/>
          <w:lang w:bidi="ar"/>
        </w:rPr>
        <w:t>8.4.2项目进度计划的内容</w:t>
      </w:r>
    </w:p>
    <w:p w14:paraId="305AFC3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6871D65A">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691" w:name="_Ref3848203"/>
      <w:bookmarkEnd w:id="1691"/>
      <w:r>
        <w:rPr>
          <w:rFonts w:hint="eastAsia" w:ascii="宋体" w:hAnsi="宋体" w:cs="宋体"/>
          <w:color w:val="auto"/>
          <w:szCs w:val="21"/>
          <w:highlight w:val="none"/>
          <w:lang w:bidi="ar"/>
        </w:rPr>
        <w:t>8.4.3项目进度计划的修订</w:t>
      </w:r>
    </w:p>
    <w:p w14:paraId="2C846B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33FD9F4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65BCC95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除合同当事人另有约定外，项目进度计划的修订并不能减轻或者免除双方按第8.7款[工期延误]、第8.8款[工期提前]、第8.9款[暂停工作]应承担的合同责任。</w:t>
      </w:r>
    </w:p>
    <w:p w14:paraId="175F7C69">
      <w:pPr>
        <w:widowControl/>
        <w:wordWrap w:val="0"/>
        <w:topLinePunct/>
        <w:adjustRightInd w:val="0"/>
        <w:snapToGrid w:val="0"/>
        <w:spacing w:after="163" w:afterLines="50" w:line="360" w:lineRule="auto"/>
        <w:outlineLvl w:val="2"/>
        <w:rPr>
          <w:rFonts w:ascii="宋体" w:hAnsi="宋体" w:cs="宋体"/>
          <w:color w:val="auto"/>
          <w:highlight w:val="none"/>
        </w:rPr>
      </w:pPr>
      <w:bookmarkStart w:id="1692" w:name="_Ref532362276"/>
      <w:bookmarkEnd w:id="1692"/>
      <w:bookmarkStart w:id="1693" w:name="_Ref532362278"/>
      <w:bookmarkEnd w:id="1693"/>
      <w:bookmarkStart w:id="1694" w:name="_Toc20171792"/>
      <w:bookmarkStart w:id="1695" w:name="_Toc170932513"/>
      <w:bookmarkStart w:id="1696" w:name="_Toc12162"/>
      <w:bookmarkStart w:id="1697" w:name="_Toc84930782"/>
      <w:bookmarkStart w:id="1698" w:name="_Toc18457"/>
      <w:bookmarkStart w:id="1699" w:name="_Toc58860232"/>
      <w:bookmarkStart w:id="1700" w:name="_Toc51766645"/>
      <w:bookmarkStart w:id="1701" w:name="_Toc18213"/>
      <w:bookmarkStart w:id="1702" w:name="_Toc564"/>
      <w:r>
        <w:rPr>
          <w:rFonts w:hint="eastAsia" w:ascii="宋体" w:hAnsi="宋体" w:cs="宋体"/>
          <w:color w:val="auto"/>
          <w:szCs w:val="21"/>
          <w:highlight w:val="none"/>
          <w:lang w:bidi="ar"/>
        </w:rPr>
        <w:t>8</w:t>
      </w:r>
      <w:bookmarkEnd w:id="1694"/>
      <w:r>
        <w:rPr>
          <w:rFonts w:hint="eastAsia" w:ascii="宋体" w:hAnsi="宋体" w:cs="宋体"/>
          <w:color w:val="auto"/>
          <w:szCs w:val="21"/>
          <w:highlight w:val="none"/>
          <w:lang w:bidi="ar"/>
        </w:rPr>
        <w:t>.5  进度报告</w:t>
      </w:r>
      <w:bookmarkEnd w:id="1695"/>
      <w:bookmarkEnd w:id="1696"/>
      <w:bookmarkEnd w:id="1697"/>
      <w:bookmarkEnd w:id="1698"/>
      <w:bookmarkEnd w:id="1699"/>
      <w:bookmarkEnd w:id="1700"/>
      <w:bookmarkEnd w:id="1701"/>
      <w:bookmarkEnd w:id="1702"/>
    </w:p>
    <w:p w14:paraId="70BA937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项目实施过程中，承包人应进行实际进度记录，并根据工程师的要求编制月进度报告，并提交给工程师。进度报告应包含以下主要内容：</w:t>
      </w:r>
    </w:p>
    <w:p w14:paraId="2393DB2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（1）工程施工等各个工作内容的进展报告；</w:t>
      </w:r>
    </w:p>
    <w:p w14:paraId="30202D3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（2）工程施工方法的一般说明；</w:t>
      </w:r>
    </w:p>
    <w:p w14:paraId="71ABC40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（3）当月工程实施介入的项目人员、设备和材料的预估明细报告；</w:t>
      </w:r>
    </w:p>
    <w:p w14:paraId="12A3658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（4）当月实际进度与进度计划对比分析，以及提出未来可能引起工期延误的情形，同时提出应对措施；需要修订项目进度计划的，应对项目进度计划的修订部分进行说明； </w:t>
      </w:r>
    </w:p>
    <w:p w14:paraId="6C208A9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（5）承包人对于解决工期延误所提出的建议；</w:t>
      </w:r>
    </w:p>
    <w:p w14:paraId="0F55F9D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（6）其他与工程有关的重大事项。</w:t>
      </w:r>
    </w:p>
    <w:p w14:paraId="42BB8A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进度报告的具体要求等，在专用合同条件约定。</w:t>
      </w:r>
    </w:p>
    <w:p w14:paraId="69F6F5B2">
      <w:pPr>
        <w:widowControl/>
        <w:wordWrap w:val="0"/>
        <w:topLinePunct/>
        <w:adjustRightInd w:val="0"/>
        <w:snapToGrid w:val="0"/>
        <w:spacing w:after="163" w:afterLines="50" w:line="360" w:lineRule="auto"/>
        <w:outlineLvl w:val="2"/>
        <w:rPr>
          <w:rFonts w:ascii="宋体" w:hAnsi="宋体" w:cs="宋体"/>
          <w:color w:val="auto"/>
          <w:highlight w:val="none"/>
        </w:rPr>
      </w:pPr>
      <w:bookmarkStart w:id="1703" w:name="_Toc20171793"/>
      <w:bookmarkEnd w:id="1703"/>
      <w:bookmarkStart w:id="1704" w:name="_Toc11512"/>
      <w:bookmarkStart w:id="1705" w:name="_Toc13112"/>
      <w:bookmarkStart w:id="1706" w:name="_Toc84930783"/>
      <w:bookmarkStart w:id="1707" w:name="_Toc170932514"/>
      <w:bookmarkStart w:id="1708" w:name="_Toc51766646"/>
      <w:bookmarkStart w:id="1709" w:name="_Toc58860233"/>
      <w:bookmarkStart w:id="1710" w:name="_Toc8681"/>
      <w:bookmarkStart w:id="1711" w:name="_Toc11825"/>
      <w:r>
        <w:rPr>
          <w:rFonts w:hint="eastAsia" w:ascii="宋体" w:hAnsi="宋体" w:cs="宋体"/>
          <w:color w:val="auto"/>
          <w:szCs w:val="21"/>
          <w:highlight w:val="none"/>
          <w:lang w:bidi="ar"/>
        </w:rPr>
        <w:t>8.6  提前预警</w:t>
      </w:r>
      <w:bookmarkEnd w:id="1704"/>
      <w:bookmarkEnd w:id="1705"/>
      <w:bookmarkEnd w:id="1706"/>
      <w:bookmarkEnd w:id="1707"/>
      <w:bookmarkEnd w:id="1708"/>
      <w:bookmarkEnd w:id="1709"/>
      <w:bookmarkEnd w:id="1710"/>
      <w:bookmarkEnd w:id="1711"/>
    </w:p>
    <w:p w14:paraId="262DB3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任何一方应当在下列情形发生时尽快书面通知另一方：</w:t>
      </w:r>
    </w:p>
    <w:p w14:paraId="169938B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（1）该情形可能对合同的履行或实现合同目的产生不利影响；</w:t>
      </w:r>
    </w:p>
    <w:p w14:paraId="61043FF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（2）该情形可能对工程完成后的使用产生不利影响；</w:t>
      </w:r>
    </w:p>
    <w:p w14:paraId="6A4607E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（3）该情形可能导致合同价款增加；</w:t>
      </w:r>
    </w:p>
    <w:p w14:paraId="11E162A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（4）该情形可能导致整个工程或单位/区段工程的工期延长。</w:t>
      </w:r>
    </w:p>
    <w:p w14:paraId="525928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发包人有权要求承包人根据第13.2款[承包人的合理化建议]的约定提交变更建议，采取措施尽量避免或最小化上述情形的发生或影响。</w:t>
      </w:r>
    </w:p>
    <w:p w14:paraId="28D66BB0">
      <w:pPr>
        <w:widowControl/>
        <w:wordWrap w:val="0"/>
        <w:topLinePunct/>
        <w:adjustRightInd w:val="0"/>
        <w:snapToGrid w:val="0"/>
        <w:spacing w:after="163" w:afterLines="50" w:line="360" w:lineRule="auto"/>
        <w:outlineLvl w:val="2"/>
        <w:rPr>
          <w:rFonts w:ascii="宋体" w:hAnsi="宋体" w:cs="宋体"/>
          <w:color w:val="auto"/>
          <w:highlight w:val="none"/>
        </w:rPr>
      </w:pPr>
      <w:bookmarkStart w:id="1712" w:name="_Ref4770106"/>
      <w:bookmarkEnd w:id="1712"/>
      <w:bookmarkStart w:id="1713" w:name="_Toc4784174"/>
      <w:bookmarkEnd w:id="1713"/>
      <w:bookmarkStart w:id="1714" w:name="_Toc4784173"/>
      <w:bookmarkEnd w:id="1714"/>
      <w:bookmarkStart w:id="1715" w:name="_Toc4784171"/>
      <w:bookmarkEnd w:id="1715"/>
      <w:bookmarkStart w:id="1716" w:name="_Toc4784168"/>
      <w:bookmarkEnd w:id="1716"/>
      <w:bookmarkStart w:id="1717" w:name="_Toc4784175"/>
      <w:bookmarkEnd w:id="1717"/>
      <w:bookmarkStart w:id="1718" w:name="_Toc4784164"/>
      <w:bookmarkEnd w:id="1718"/>
      <w:bookmarkStart w:id="1719" w:name="_Toc4784170"/>
      <w:bookmarkEnd w:id="1719"/>
      <w:bookmarkStart w:id="1720" w:name="_Toc4784154"/>
      <w:bookmarkEnd w:id="1720"/>
      <w:bookmarkStart w:id="1721" w:name="_Toc20171794"/>
      <w:bookmarkEnd w:id="1721"/>
      <w:bookmarkStart w:id="1722" w:name="_Toc4784155"/>
      <w:bookmarkEnd w:id="1722"/>
      <w:bookmarkStart w:id="1723" w:name="_Toc4784160"/>
      <w:bookmarkEnd w:id="1723"/>
      <w:bookmarkStart w:id="1724" w:name="_Toc4784172"/>
      <w:bookmarkEnd w:id="1724"/>
      <w:bookmarkStart w:id="1725" w:name="_Ref532362359"/>
      <w:bookmarkEnd w:id="1725"/>
      <w:bookmarkStart w:id="1726" w:name="_Toc4784156"/>
      <w:bookmarkEnd w:id="1726"/>
      <w:bookmarkStart w:id="1727" w:name="_Toc4784169"/>
      <w:bookmarkEnd w:id="1727"/>
      <w:bookmarkStart w:id="1728" w:name="_Toc4784163"/>
      <w:bookmarkEnd w:id="1728"/>
      <w:bookmarkStart w:id="1729" w:name="_Toc4784161"/>
      <w:bookmarkEnd w:id="1729"/>
      <w:bookmarkStart w:id="1730" w:name="_Toc4784159"/>
      <w:bookmarkEnd w:id="1730"/>
      <w:bookmarkStart w:id="1731" w:name="_Toc4784165"/>
      <w:bookmarkEnd w:id="1731"/>
      <w:bookmarkStart w:id="1732" w:name="_Toc4784167"/>
      <w:bookmarkEnd w:id="1732"/>
      <w:bookmarkStart w:id="1733" w:name="_Toc4784166"/>
      <w:bookmarkEnd w:id="1733"/>
      <w:bookmarkStart w:id="1734" w:name="_Toc4784158"/>
      <w:bookmarkEnd w:id="1734"/>
      <w:bookmarkStart w:id="1735" w:name="_Toc4784162"/>
      <w:bookmarkEnd w:id="1735"/>
      <w:bookmarkStart w:id="1736" w:name="_Ref532362356"/>
      <w:bookmarkEnd w:id="1736"/>
      <w:bookmarkStart w:id="1737" w:name="_Toc4784157"/>
      <w:bookmarkStart w:id="1738" w:name="_Toc27061"/>
      <w:bookmarkStart w:id="1739" w:name="_Toc170932515"/>
      <w:bookmarkStart w:id="1740" w:name="_Toc14277"/>
      <w:bookmarkStart w:id="1741" w:name="_Toc17470"/>
      <w:bookmarkStart w:id="1742" w:name="_Toc84930784"/>
      <w:bookmarkStart w:id="1743" w:name="_Toc9657"/>
      <w:bookmarkStart w:id="1744" w:name="_Toc58860234"/>
      <w:bookmarkStart w:id="1745" w:name="_Toc51766647"/>
      <w:r>
        <w:rPr>
          <w:rFonts w:hint="eastAsia" w:ascii="宋体" w:hAnsi="宋体" w:cs="宋体"/>
          <w:color w:val="auto"/>
          <w:szCs w:val="21"/>
          <w:highlight w:val="none"/>
          <w:lang w:bidi="ar"/>
        </w:rPr>
        <w:t>8</w:t>
      </w:r>
      <w:bookmarkEnd w:id="1737"/>
      <w:r>
        <w:rPr>
          <w:rFonts w:hint="eastAsia" w:ascii="宋体" w:hAnsi="宋体" w:cs="宋体"/>
          <w:color w:val="auto"/>
          <w:szCs w:val="21"/>
          <w:highlight w:val="none"/>
          <w:lang w:bidi="ar"/>
        </w:rPr>
        <w:t>.7  工期延误</w:t>
      </w:r>
      <w:bookmarkEnd w:id="1738"/>
      <w:bookmarkEnd w:id="1739"/>
      <w:bookmarkEnd w:id="1740"/>
      <w:bookmarkEnd w:id="1741"/>
      <w:bookmarkEnd w:id="1742"/>
      <w:bookmarkEnd w:id="1743"/>
      <w:bookmarkEnd w:id="1744"/>
      <w:bookmarkEnd w:id="1745"/>
    </w:p>
    <w:p w14:paraId="70B7DFC0">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746" w:name="_Ref4796050"/>
      <w:bookmarkEnd w:id="1746"/>
      <w:r>
        <w:rPr>
          <w:rFonts w:hint="eastAsia" w:ascii="宋体" w:hAnsi="宋体" w:cs="宋体"/>
          <w:color w:val="auto"/>
          <w:szCs w:val="21"/>
          <w:highlight w:val="none"/>
          <w:lang w:bidi="ar"/>
        </w:rPr>
        <w:t>8.7.1因发包人原因导致工期延误</w:t>
      </w:r>
    </w:p>
    <w:p w14:paraId="68E3BF8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在合同履行过程中，因下列情况导致工期延误和（或）费用增加的，由发包人承担由此延误的工期和（或）增加的费用，且发包人应支付承包人合理的利润：</w:t>
      </w:r>
    </w:p>
    <w:p w14:paraId="513585A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（1）根据第13条[变更与调整]的约定构成一项变更的；</w:t>
      </w:r>
    </w:p>
    <w:p w14:paraId="4F89D6F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（2）发包人违反本合同约定，导致工期延误和（或）费用增加的；</w:t>
      </w:r>
    </w:p>
    <w:p w14:paraId="4D45A8B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（3）发包人、发包人代表、工程师或发包人聘请的任意第三方造成或引起的任何延误、妨碍和阻碍；</w:t>
      </w:r>
    </w:p>
    <w:p w14:paraId="5518208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（4）发包人未能依据第6.2.1项[发包人提供的材料和工程设备]的约定提供材料和工程设备导致工期延误和（或）费用增加的；</w:t>
      </w:r>
    </w:p>
    <w:p w14:paraId="3DAA587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（5）因发包人原因导致的暂停施工；</w:t>
      </w:r>
    </w:p>
    <w:p w14:paraId="74F3DAC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（6）发包人未及时履行相关合同义务，造成工期延误的其他原因。</w:t>
      </w:r>
    </w:p>
    <w:p w14:paraId="495E189C">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747" w:name="_Ref4770209"/>
      <w:bookmarkEnd w:id="1747"/>
      <w:r>
        <w:rPr>
          <w:rFonts w:hint="eastAsia" w:ascii="宋体" w:hAnsi="宋体" w:cs="宋体"/>
          <w:color w:val="auto"/>
          <w:szCs w:val="21"/>
          <w:highlight w:val="none"/>
          <w:lang w:bidi="ar"/>
        </w:rPr>
        <w:t>8.7.2因承包人原因导致工期延误</w:t>
      </w:r>
    </w:p>
    <w:p w14:paraId="1F5F449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由于承包人的原因，未能按项目进度计划完成工作，承包人应采取措施加快进度，并承担加快进度所增加的费用。</w:t>
      </w:r>
    </w:p>
    <w:p w14:paraId="1967EE1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7977210B">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748" w:name="_Ref4770872"/>
      <w:bookmarkEnd w:id="1748"/>
      <w:r>
        <w:rPr>
          <w:rFonts w:hint="eastAsia" w:ascii="宋体" w:hAnsi="宋体" w:cs="宋体"/>
          <w:color w:val="auto"/>
          <w:szCs w:val="21"/>
          <w:highlight w:val="none"/>
          <w:lang w:bidi="ar"/>
        </w:rPr>
        <w:t xml:space="preserve">8.7.3行政审批迟延 </w:t>
      </w:r>
    </w:p>
    <w:p w14:paraId="419EF3F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0E4FD3EE">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749" w:name="_Ref4770933"/>
      <w:bookmarkEnd w:id="1749"/>
      <w:r>
        <w:rPr>
          <w:rFonts w:hint="eastAsia" w:ascii="宋体" w:hAnsi="宋体" w:cs="宋体"/>
          <w:color w:val="auto"/>
          <w:szCs w:val="21"/>
          <w:highlight w:val="none"/>
          <w:lang w:bidi="ar"/>
        </w:rPr>
        <w:t>8.7.4异常恶劣的气候条件</w:t>
      </w:r>
    </w:p>
    <w:p w14:paraId="7427C2B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681D4D4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724E9164">
      <w:pPr>
        <w:widowControl/>
        <w:wordWrap w:val="0"/>
        <w:topLinePunct/>
        <w:adjustRightInd w:val="0"/>
        <w:snapToGrid w:val="0"/>
        <w:spacing w:after="163" w:afterLines="50" w:line="360" w:lineRule="auto"/>
        <w:outlineLvl w:val="2"/>
        <w:rPr>
          <w:rFonts w:ascii="宋体" w:hAnsi="宋体" w:cs="宋体"/>
          <w:color w:val="auto"/>
          <w:highlight w:val="none"/>
        </w:rPr>
      </w:pPr>
      <w:bookmarkStart w:id="1750" w:name="_Ref4781828"/>
      <w:bookmarkEnd w:id="1750"/>
      <w:bookmarkStart w:id="1751" w:name="_Toc20171795"/>
      <w:bookmarkStart w:id="1752" w:name="_Toc1728"/>
      <w:bookmarkStart w:id="1753" w:name="_Toc170932516"/>
      <w:bookmarkStart w:id="1754" w:name="_Toc15968"/>
      <w:bookmarkStart w:id="1755" w:name="_Toc84930785"/>
      <w:bookmarkStart w:id="1756" w:name="_Toc1606"/>
      <w:bookmarkStart w:id="1757" w:name="_Toc51766648"/>
      <w:bookmarkStart w:id="1758" w:name="_Toc30035"/>
      <w:bookmarkStart w:id="1759" w:name="_Toc58860235"/>
      <w:r>
        <w:rPr>
          <w:rFonts w:hint="eastAsia" w:ascii="宋体" w:hAnsi="宋体" w:cs="宋体"/>
          <w:color w:val="auto"/>
          <w:szCs w:val="21"/>
          <w:highlight w:val="none"/>
          <w:lang w:bidi="ar"/>
        </w:rPr>
        <w:t>8</w:t>
      </w:r>
      <w:bookmarkEnd w:id="1751"/>
      <w:r>
        <w:rPr>
          <w:rFonts w:hint="eastAsia" w:ascii="宋体" w:hAnsi="宋体" w:cs="宋体"/>
          <w:color w:val="auto"/>
          <w:szCs w:val="21"/>
          <w:highlight w:val="none"/>
          <w:lang w:bidi="ar"/>
        </w:rPr>
        <w:t>.8  工期提前</w:t>
      </w:r>
      <w:bookmarkEnd w:id="1752"/>
      <w:bookmarkEnd w:id="1753"/>
      <w:bookmarkEnd w:id="1754"/>
      <w:bookmarkEnd w:id="1755"/>
      <w:bookmarkEnd w:id="1756"/>
      <w:bookmarkEnd w:id="1757"/>
      <w:bookmarkEnd w:id="1758"/>
      <w:bookmarkEnd w:id="1759"/>
    </w:p>
    <w:p w14:paraId="414A9B6C">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8.8.1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6B6645AD">
      <w:pPr>
        <w:widowControl/>
        <w:adjustRightInd w:val="0"/>
        <w:snapToGrid w:val="0"/>
        <w:spacing w:after="163" w:afterLines="50" w:line="360" w:lineRule="auto"/>
        <w:ind w:firstLine="420" w:firstLineChars="200"/>
        <w:rPr>
          <w:rFonts w:ascii="宋体" w:hAnsi="宋体" w:cs="宋体"/>
          <w:color w:val="auto"/>
          <w:highlight w:val="none"/>
        </w:rPr>
      </w:pPr>
      <w:bookmarkStart w:id="1760" w:name="_Ref4429347"/>
      <w:bookmarkEnd w:id="1760"/>
      <w:r>
        <w:rPr>
          <w:rFonts w:hint="eastAsia" w:ascii="宋体" w:hAnsi="宋体" w:cs="宋体"/>
          <w:color w:val="auto"/>
          <w:szCs w:val="21"/>
          <w:highlight w:val="none"/>
          <w:lang w:bidi="ar"/>
        </w:rPr>
        <w:t>8.8.2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p>
    <w:p w14:paraId="41F74AAD">
      <w:pPr>
        <w:widowControl/>
        <w:wordWrap w:val="0"/>
        <w:topLinePunct/>
        <w:adjustRightInd w:val="0"/>
        <w:snapToGrid w:val="0"/>
        <w:spacing w:after="163" w:afterLines="50" w:line="360" w:lineRule="auto"/>
        <w:outlineLvl w:val="2"/>
        <w:rPr>
          <w:rFonts w:ascii="宋体" w:hAnsi="宋体" w:cs="宋体"/>
          <w:color w:val="auto"/>
          <w:highlight w:val="none"/>
        </w:rPr>
      </w:pPr>
      <w:bookmarkStart w:id="1761" w:name="_Ref4615031"/>
      <w:bookmarkEnd w:id="1761"/>
      <w:bookmarkStart w:id="1762" w:name="_Ref4615040"/>
      <w:bookmarkEnd w:id="1762"/>
      <w:bookmarkStart w:id="1763" w:name="_Toc20171796"/>
      <w:bookmarkStart w:id="1764" w:name="_Toc8410"/>
      <w:bookmarkStart w:id="1765" w:name="_Toc23569"/>
      <w:bookmarkStart w:id="1766" w:name="_Toc170932517"/>
      <w:bookmarkStart w:id="1767" w:name="_Toc9940"/>
      <w:bookmarkStart w:id="1768" w:name="_Toc25133"/>
      <w:bookmarkStart w:id="1769" w:name="_Toc51766649"/>
      <w:bookmarkStart w:id="1770" w:name="_Toc84930786"/>
      <w:bookmarkStart w:id="1771" w:name="_Toc58860236"/>
      <w:r>
        <w:rPr>
          <w:rFonts w:hint="eastAsia" w:ascii="宋体" w:hAnsi="宋体" w:cs="宋体"/>
          <w:color w:val="auto"/>
          <w:szCs w:val="21"/>
          <w:highlight w:val="none"/>
          <w:lang w:bidi="ar"/>
        </w:rPr>
        <w:t>8</w:t>
      </w:r>
      <w:bookmarkEnd w:id="1763"/>
      <w:r>
        <w:rPr>
          <w:rFonts w:hint="eastAsia" w:ascii="宋体" w:hAnsi="宋体" w:cs="宋体"/>
          <w:color w:val="auto"/>
          <w:szCs w:val="21"/>
          <w:highlight w:val="none"/>
          <w:lang w:bidi="ar"/>
        </w:rPr>
        <w:t>.9  暂停工作</w:t>
      </w:r>
      <w:bookmarkEnd w:id="1764"/>
      <w:bookmarkEnd w:id="1765"/>
      <w:bookmarkEnd w:id="1766"/>
      <w:bookmarkEnd w:id="1767"/>
      <w:bookmarkEnd w:id="1768"/>
      <w:bookmarkEnd w:id="1769"/>
      <w:bookmarkEnd w:id="1770"/>
      <w:bookmarkEnd w:id="1771"/>
      <w:r>
        <w:rPr>
          <w:rFonts w:hint="eastAsia" w:ascii="宋体" w:hAnsi="宋体" w:cs="宋体"/>
          <w:color w:val="auto"/>
          <w:szCs w:val="21"/>
          <w:highlight w:val="none"/>
          <w:lang w:bidi="ar"/>
        </w:rPr>
        <w:t xml:space="preserve"> </w:t>
      </w:r>
    </w:p>
    <w:p w14:paraId="5CA0769C">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772" w:name="_Ref4709151"/>
      <w:bookmarkEnd w:id="1772"/>
      <w:r>
        <w:rPr>
          <w:rFonts w:hint="eastAsia" w:ascii="宋体" w:hAnsi="宋体" w:cs="宋体"/>
          <w:color w:val="auto"/>
          <w:szCs w:val="21"/>
          <w:highlight w:val="none"/>
          <w:lang w:bidi="ar"/>
        </w:rPr>
        <w:t>8.9.1由发包人暂停工作</w:t>
      </w:r>
    </w:p>
    <w:p w14:paraId="4F38699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发包人认为必要时，可通过工程师向承包人发出经发包人签认的暂停工作通知，应列明暂停原因、暂停的日期及预计暂停的期限。承包人应按该通知暂停工作。</w:t>
      </w:r>
      <w:bookmarkStart w:id="1773" w:name="_Ref4709233"/>
      <w:bookmarkEnd w:id="1773"/>
    </w:p>
    <w:p w14:paraId="101562B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承包人因执行暂停工作通知而造成费用的增加和（或）工期延误由发包人承担，但由于承包人原因造成发包人暂停工作的除外。</w:t>
      </w:r>
    </w:p>
    <w:p w14:paraId="7962EFE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774" w:name="_Ref18972173"/>
      <w:bookmarkEnd w:id="1774"/>
      <w:r>
        <w:rPr>
          <w:rFonts w:hint="eastAsia" w:ascii="宋体" w:hAnsi="宋体" w:cs="宋体"/>
          <w:color w:val="auto"/>
          <w:szCs w:val="21"/>
          <w:highlight w:val="none"/>
          <w:lang w:bidi="ar"/>
        </w:rPr>
        <w:t xml:space="preserve">8.9.2由承包人暂停工作 </w:t>
      </w:r>
    </w:p>
    <w:p w14:paraId="68C6440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74F86CF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w:t>
      </w:r>
    </w:p>
    <w:p w14:paraId="28229F78">
      <w:pPr>
        <w:widowControl/>
        <w:adjustRightInd w:val="0"/>
        <w:snapToGrid w:val="0"/>
        <w:spacing w:after="163" w:afterLines="50" w:line="360" w:lineRule="auto"/>
        <w:ind w:firstLine="420" w:firstLineChars="200"/>
        <w:rPr>
          <w:rFonts w:ascii="宋体" w:hAnsi="宋体" w:cs="宋体"/>
          <w:color w:val="auto"/>
          <w:kern w:val="0"/>
          <w:highlight w:val="none"/>
        </w:rPr>
      </w:pPr>
      <w:bookmarkStart w:id="1775" w:name="_Ref4709224"/>
      <w:bookmarkEnd w:id="1775"/>
      <w:r>
        <w:rPr>
          <w:rFonts w:hint="eastAsia" w:ascii="宋体" w:hAnsi="宋体" w:cs="宋体"/>
          <w:color w:val="auto"/>
          <w:kern w:val="0"/>
          <w:szCs w:val="21"/>
          <w:highlight w:val="none"/>
          <w:lang w:bidi="ar"/>
        </w:rPr>
        <w:t>（1）发包人拖延、拒绝批准付款申请和支付证书，或未能按合同约定支付价款，导致付款延误的；</w:t>
      </w:r>
    </w:p>
    <w:p w14:paraId="409281E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（2）发包人未按约定履行合同其他义务导致承包人无法继续履行合同的，或者发包人明确表示暂停或实质上已暂停履行合同的；</w:t>
      </w:r>
    </w:p>
    <w:p w14:paraId="0CF88BC4">
      <w:pPr>
        <w:widowControl/>
        <w:wordWrap w:val="0"/>
        <w:topLinePunct/>
        <w:adjustRightInd w:val="0"/>
        <w:snapToGrid w:val="0"/>
        <w:spacing w:after="163" w:afterLines="50" w:line="360" w:lineRule="auto"/>
        <w:ind w:left="480"/>
        <w:outlineLvl w:val="3"/>
        <w:rPr>
          <w:rFonts w:ascii="宋体" w:hAnsi="宋体" w:cs="宋体"/>
          <w:color w:val="auto"/>
          <w:kern w:val="0"/>
          <w:highlight w:val="none"/>
        </w:rPr>
      </w:pPr>
      <w:r>
        <w:rPr>
          <w:rFonts w:hint="eastAsia" w:ascii="宋体" w:hAnsi="宋体" w:cs="宋体"/>
          <w:color w:val="auto"/>
          <w:kern w:val="0"/>
          <w:szCs w:val="21"/>
          <w:highlight w:val="none"/>
          <w:lang w:bidi="ar"/>
        </w:rPr>
        <w:t>8</w:t>
      </w:r>
      <w:r>
        <w:rPr>
          <w:rFonts w:ascii="宋体" w:hAnsi="宋体" w:cs="宋体"/>
          <w:color w:val="auto"/>
          <w:kern w:val="0"/>
          <w:szCs w:val="21"/>
          <w:highlight w:val="none"/>
          <w:lang w:bidi="ar"/>
        </w:rPr>
        <w:t>.9.3</w:t>
      </w:r>
      <w:r>
        <w:rPr>
          <w:rFonts w:hint="eastAsia" w:ascii="宋体" w:hAnsi="宋体" w:cs="宋体"/>
          <w:color w:val="auto"/>
          <w:kern w:val="0"/>
          <w:szCs w:val="21"/>
          <w:highlight w:val="none"/>
          <w:lang w:bidi="ar"/>
        </w:rPr>
        <w:t>除上述原因以外的暂停工作，双方应遵守第17条[不可抗力]的相关约定。</w:t>
      </w:r>
    </w:p>
    <w:p w14:paraId="58BD5C4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776" w:name="_Ref4709158"/>
      <w:bookmarkEnd w:id="1776"/>
      <w:r>
        <w:rPr>
          <w:rFonts w:hint="eastAsia" w:ascii="宋体" w:hAnsi="宋体" w:cs="宋体"/>
          <w:color w:val="auto"/>
          <w:szCs w:val="21"/>
          <w:highlight w:val="none"/>
          <w:lang w:bidi="ar"/>
        </w:rPr>
        <w:t>8.9.</w:t>
      </w:r>
      <w:r>
        <w:rPr>
          <w:rFonts w:ascii="宋体" w:hAnsi="宋体" w:cs="宋体"/>
          <w:color w:val="auto"/>
          <w:szCs w:val="21"/>
          <w:highlight w:val="none"/>
          <w:lang w:bidi="ar"/>
        </w:rPr>
        <w:t>4</w:t>
      </w:r>
      <w:r>
        <w:rPr>
          <w:rFonts w:hint="eastAsia" w:ascii="宋体" w:hAnsi="宋体" w:cs="宋体"/>
          <w:color w:val="auto"/>
          <w:szCs w:val="21"/>
          <w:highlight w:val="none"/>
          <w:lang w:bidi="ar"/>
        </w:rPr>
        <w:t xml:space="preserve">暂停工作期间的工程照管 </w:t>
      </w:r>
    </w:p>
    <w:p w14:paraId="755BBD9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41A3BCE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因承包人未能尽到照管、保护的责任造成损失的，使发包人的费用增加，（或）竣工日期延误的，由承包人按本合同约定承担责任。</w:t>
      </w:r>
    </w:p>
    <w:p w14:paraId="4EDBC3D8">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8.9.</w:t>
      </w:r>
      <w:r>
        <w:rPr>
          <w:rFonts w:ascii="宋体" w:hAnsi="宋体" w:cs="宋体"/>
          <w:color w:val="auto"/>
          <w:szCs w:val="21"/>
          <w:highlight w:val="none"/>
          <w:lang w:bidi="ar"/>
        </w:rPr>
        <w:t>5</w:t>
      </w:r>
      <w:r>
        <w:rPr>
          <w:rFonts w:hint="eastAsia" w:ascii="宋体" w:hAnsi="宋体" w:cs="宋体"/>
          <w:color w:val="auto"/>
          <w:szCs w:val="21"/>
          <w:highlight w:val="none"/>
          <w:lang w:bidi="ar"/>
        </w:rPr>
        <w:t>拖长的暂停</w:t>
      </w:r>
    </w:p>
    <w:p w14:paraId="506521CD">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73330D4A">
      <w:pPr>
        <w:widowControl/>
        <w:wordWrap w:val="0"/>
        <w:topLinePunct/>
        <w:adjustRightInd w:val="0"/>
        <w:snapToGrid w:val="0"/>
        <w:spacing w:after="163" w:afterLines="50" w:line="360" w:lineRule="auto"/>
        <w:outlineLvl w:val="2"/>
        <w:rPr>
          <w:rFonts w:ascii="宋体" w:hAnsi="宋体" w:cs="宋体"/>
          <w:color w:val="auto"/>
          <w:highlight w:val="none"/>
        </w:rPr>
      </w:pPr>
      <w:bookmarkStart w:id="1777" w:name="_Toc20171797"/>
      <w:bookmarkEnd w:id="1777"/>
      <w:bookmarkStart w:id="1778" w:name="_Toc9890"/>
      <w:bookmarkStart w:id="1779" w:name="_Toc58860237"/>
      <w:bookmarkStart w:id="1780" w:name="_Toc14895"/>
      <w:bookmarkStart w:id="1781" w:name="_Toc170932518"/>
      <w:bookmarkStart w:id="1782" w:name="_Toc51766650"/>
      <w:bookmarkStart w:id="1783" w:name="_Toc11502"/>
      <w:bookmarkStart w:id="1784" w:name="_Toc19900"/>
      <w:bookmarkStart w:id="1785" w:name="_Toc84930787"/>
      <w:r>
        <w:rPr>
          <w:rFonts w:hint="eastAsia" w:ascii="宋体" w:hAnsi="宋体" w:cs="宋体"/>
          <w:color w:val="auto"/>
          <w:szCs w:val="21"/>
          <w:highlight w:val="none"/>
          <w:lang w:bidi="ar"/>
        </w:rPr>
        <w:t>8.10  复工</w:t>
      </w:r>
      <w:bookmarkEnd w:id="1778"/>
      <w:bookmarkEnd w:id="1779"/>
      <w:bookmarkEnd w:id="1780"/>
      <w:bookmarkEnd w:id="1781"/>
      <w:bookmarkEnd w:id="1782"/>
      <w:bookmarkEnd w:id="1783"/>
      <w:bookmarkEnd w:id="1784"/>
      <w:bookmarkEnd w:id="1785"/>
      <w:r>
        <w:rPr>
          <w:rFonts w:hint="eastAsia" w:ascii="宋体" w:hAnsi="宋体" w:cs="宋体"/>
          <w:color w:val="auto"/>
          <w:szCs w:val="21"/>
          <w:highlight w:val="none"/>
          <w:lang w:bidi="ar"/>
        </w:rPr>
        <w:t xml:space="preserve"> </w:t>
      </w:r>
    </w:p>
    <w:p w14:paraId="12E60EB4">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8.10.1收到发包人的复工通知后，承包人应按通知时间复工；发包人通知的复工时间应当给予承包人必要的准备复工时间。</w:t>
      </w:r>
    </w:p>
    <w:p w14:paraId="4DD2302F">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8.10.2不论由于何种原因引起暂停工作，双方均可要求对方一同对受暂停影响的工程、工程设备和工程物资进行检查，承包人应将检查结果及需要恢复、修复的内容和估算通知发包人。</w:t>
      </w:r>
    </w:p>
    <w:p w14:paraId="61B82DE8">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8.10.3除第17条[不可抗力]另有约定外，发生的恢复、修复价款及工期延误的后果由责任方承担。</w:t>
      </w:r>
    </w:p>
    <w:p w14:paraId="053F8D99">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786" w:name="_Ref4621041"/>
      <w:bookmarkEnd w:id="1786"/>
      <w:bookmarkStart w:id="1787" w:name="_Ref4621029"/>
      <w:bookmarkEnd w:id="1787"/>
      <w:bookmarkStart w:id="1788" w:name="_Toc20171798"/>
      <w:bookmarkStart w:id="1789" w:name="_Toc5996"/>
      <w:bookmarkStart w:id="1790" w:name="_Toc170932519"/>
      <w:r>
        <w:rPr>
          <w:rFonts w:hint="eastAsia" w:ascii="宋体" w:hAnsi="宋体" w:cs="宋体"/>
          <w:color w:val="auto"/>
          <w:kern w:val="0"/>
          <w:szCs w:val="21"/>
          <w:highlight w:val="none"/>
          <w:lang w:bidi="ar"/>
        </w:rPr>
        <w:t xml:space="preserve">第9条 </w:t>
      </w:r>
      <w:bookmarkEnd w:id="1788"/>
      <w:r>
        <w:rPr>
          <w:rFonts w:hint="eastAsia" w:ascii="宋体" w:hAnsi="宋体" w:cs="宋体"/>
          <w:color w:val="auto"/>
          <w:kern w:val="0"/>
          <w:szCs w:val="21"/>
          <w:highlight w:val="none"/>
          <w:lang w:bidi="ar"/>
        </w:rPr>
        <w:t xml:space="preserve"> 竣工试验</w:t>
      </w:r>
      <w:bookmarkEnd w:id="1789"/>
      <w:bookmarkEnd w:id="1790"/>
      <w:r>
        <w:rPr>
          <w:rFonts w:hint="eastAsia" w:ascii="宋体" w:hAnsi="宋体" w:cs="宋体"/>
          <w:color w:val="auto"/>
          <w:kern w:val="0"/>
          <w:szCs w:val="21"/>
          <w:highlight w:val="none"/>
          <w:lang w:bidi="ar"/>
        </w:rPr>
        <w:t xml:space="preserve"> </w:t>
      </w:r>
    </w:p>
    <w:p w14:paraId="780C0C10">
      <w:pPr>
        <w:widowControl/>
        <w:wordWrap w:val="0"/>
        <w:topLinePunct/>
        <w:adjustRightInd w:val="0"/>
        <w:snapToGrid w:val="0"/>
        <w:spacing w:after="163" w:afterLines="50" w:line="360" w:lineRule="auto"/>
        <w:outlineLvl w:val="2"/>
        <w:rPr>
          <w:rFonts w:ascii="宋体" w:hAnsi="宋体" w:cs="宋体"/>
          <w:color w:val="auto"/>
          <w:highlight w:val="none"/>
        </w:rPr>
      </w:pPr>
      <w:bookmarkStart w:id="1791" w:name="_Ref532586248"/>
      <w:bookmarkEnd w:id="1791"/>
      <w:bookmarkStart w:id="1792" w:name="_Toc20171799"/>
      <w:bookmarkEnd w:id="1792"/>
      <w:bookmarkStart w:id="1793" w:name="_Ref532586251"/>
      <w:bookmarkStart w:id="1794" w:name="_Toc19338"/>
      <w:bookmarkStart w:id="1795" w:name="_Toc21284"/>
      <w:bookmarkStart w:id="1796" w:name="_Toc170932520"/>
      <w:bookmarkStart w:id="1797" w:name="_Toc15266"/>
      <w:bookmarkStart w:id="1798" w:name="_Toc51766652"/>
      <w:bookmarkStart w:id="1799" w:name="_Toc5591"/>
      <w:bookmarkStart w:id="1800" w:name="_Toc58860239"/>
      <w:bookmarkStart w:id="1801" w:name="_Toc84930789"/>
      <w:r>
        <w:rPr>
          <w:rFonts w:hint="eastAsia" w:ascii="宋体" w:hAnsi="宋体" w:cs="宋体"/>
          <w:color w:val="auto"/>
          <w:szCs w:val="21"/>
          <w:highlight w:val="none"/>
          <w:lang w:bidi="ar"/>
        </w:rPr>
        <w:t>9</w:t>
      </w:r>
      <w:bookmarkEnd w:id="1793"/>
      <w:r>
        <w:rPr>
          <w:rFonts w:hint="eastAsia" w:ascii="宋体" w:hAnsi="宋体" w:cs="宋体"/>
          <w:color w:val="auto"/>
          <w:szCs w:val="21"/>
          <w:highlight w:val="none"/>
          <w:lang w:bidi="ar"/>
        </w:rPr>
        <w:t>.1  竣工试验的义务</w:t>
      </w:r>
      <w:bookmarkEnd w:id="1794"/>
      <w:bookmarkEnd w:id="1795"/>
      <w:bookmarkEnd w:id="1796"/>
      <w:bookmarkEnd w:id="1797"/>
      <w:bookmarkEnd w:id="1798"/>
      <w:bookmarkEnd w:id="1799"/>
      <w:bookmarkEnd w:id="1800"/>
      <w:bookmarkEnd w:id="1801"/>
    </w:p>
    <w:p w14:paraId="61CF63B3">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9.1.1承包人完成工程或区段工程进行竣工试验所需的作业，并根据第5.4款[竣工文件]和第5.5款[操作和维修手册]提交文件后，进行竣工试验。</w:t>
      </w:r>
      <w:bookmarkStart w:id="1802" w:name="_Ref532586608"/>
      <w:bookmarkEnd w:id="1802"/>
    </w:p>
    <w:p w14:paraId="0715EA9E">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bookmarkStart w:id="1803" w:name="_Ref11919920"/>
      <w:bookmarkEnd w:id="1803"/>
      <w:r>
        <w:rPr>
          <w:rFonts w:hint="eastAsia" w:ascii="宋体" w:hAnsi="宋体" w:cs="宋体"/>
          <w:color w:val="auto"/>
          <w:szCs w:val="21"/>
          <w:highlight w:val="none"/>
          <w:lang w:bidi="ar"/>
        </w:rPr>
        <w:t>9.1.2承包人应在进行竣工试验之前，至少提前42天向工程师提交详细的竣工试验计划，该计划应载明竣工试验的内容、地点、拟开展时间和需要发包人提供的资源条件。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p>
    <w:p w14:paraId="0D30B4CC">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bookmarkStart w:id="1804" w:name="_Ref532688147"/>
      <w:bookmarkEnd w:id="1804"/>
      <w:r>
        <w:rPr>
          <w:rFonts w:hint="eastAsia" w:ascii="宋体" w:hAnsi="宋体" w:cs="宋体"/>
          <w:color w:val="auto"/>
          <w:szCs w:val="21"/>
          <w:highlight w:val="none"/>
          <w:lang w:bidi="ar"/>
        </w:rPr>
        <w:t>9.1.3承包人应根据经确认的竣工试验计划以及第6.5款[由承包人试验和</w:t>
      </w:r>
      <w:r>
        <w:rPr>
          <w:rFonts w:ascii="宋体" w:hAnsi="宋体" w:cs="宋体"/>
          <w:color w:val="auto"/>
          <w:szCs w:val="21"/>
          <w:highlight w:val="none"/>
          <w:lang w:bidi="ar"/>
        </w:rPr>
        <w:t>检验</w:t>
      </w:r>
      <w:r>
        <w:rPr>
          <w:rFonts w:hint="eastAsia" w:ascii="宋体" w:hAnsi="宋体" w:cs="宋体"/>
          <w:color w:val="auto"/>
          <w:szCs w:val="21"/>
          <w:highlight w:val="none"/>
          <w:lang w:bidi="ar"/>
        </w:rPr>
        <w:t>]进行竣工试验。除《发包人要求》中另有说明外，竣工试验应按以下顺序分阶段进行，即只有在工程或区段工程已通过上一阶段试验的情况下，才可进行下一阶段试验：</w:t>
      </w:r>
    </w:p>
    <w:p w14:paraId="0F407448">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（1）承包人进行启动前试验，包括适当的检查和功能性试验，以证明工程或区段工程的每一部分均能够安全地承受下一阶段试验；</w:t>
      </w:r>
    </w:p>
    <w:p w14:paraId="5553FE1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（2）承包人进行启动试验，以证明工程或区段工程能够在所有可利用的操作条件下安全运行，并按照专用合同条件和《发包人要求》中的规定操作；</w:t>
      </w:r>
    </w:p>
    <w:p w14:paraId="12074AD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（3）承包人进行试运行试验。当工程或区段工程能稳定安全运行时，承包人应通知工程师，可以进行其他竣工试验，包括各种性能测试，以证明工程或区段工程符合《发包人要求》中列明的性能保证指标。</w:t>
      </w:r>
    </w:p>
    <w:p w14:paraId="20C8D8A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进行上述试验不应构成第10条[验收和工程接收]规定的接收，但试验所产生的任何产品或其他收益均应归属于发包人。</w:t>
      </w:r>
    </w:p>
    <w:p w14:paraId="4F68BA13">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9.1.4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65B76412">
      <w:pPr>
        <w:widowControl/>
        <w:wordWrap w:val="0"/>
        <w:topLinePunct/>
        <w:adjustRightInd w:val="0"/>
        <w:snapToGrid w:val="0"/>
        <w:spacing w:after="163" w:afterLines="50" w:line="360" w:lineRule="auto"/>
        <w:outlineLvl w:val="2"/>
        <w:rPr>
          <w:rFonts w:ascii="宋体" w:hAnsi="宋体" w:cs="宋体"/>
          <w:color w:val="auto"/>
          <w:highlight w:val="none"/>
        </w:rPr>
      </w:pPr>
      <w:bookmarkStart w:id="1805" w:name="_Toc20171800"/>
      <w:bookmarkEnd w:id="1805"/>
      <w:bookmarkStart w:id="1806" w:name="_Toc84930790"/>
      <w:bookmarkStart w:id="1807" w:name="_Toc30512"/>
      <w:bookmarkStart w:id="1808" w:name="_Toc51766653"/>
      <w:bookmarkStart w:id="1809" w:name="_Toc15651"/>
      <w:bookmarkStart w:id="1810" w:name="_Toc6177"/>
      <w:bookmarkStart w:id="1811" w:name="_Toc58860240"/>
      <w:bookmarkStart w:id="1812" w:name="_Toc170932521"/>
      <w:bookmarkStart w:id="1813" w:name="_Toc2957"/>
      <w:r>
        <w:rPr>
          <w:rFonts w:hint="eastAsia" w:ascii="宋体" w:hAnsi="宋体" w:cs="宋体"/>
          <w:color w:val="auto"/>
          <w:szCs w:val="21"/>
          <w:highlight w:val="none"/>
          <w:lang w:bidi="ar"/>
        </w:rPr>
        <w:t>9.2  延误的试验</w:t>
      </w:r>
      <w:bookmarkEnd w:id="1806"/>
      <w:bookmarkEnd w:id="1807"/>
      <w:bookmarkEnd w:id="1808"/>
      <w:bookmarkEnd w:id="1809"/>
      <w:bookmarkEnd w:id="1810"/>
      <w:bookmarkEnd w:id="1811"/>
      <w:bookmarkEnd w:id="1812"/>
      <w:bookmarkEnd w:id="1813"/>
    </w:p>
    <w:p w14:paraId="49B14E5C">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9.2.1如果承包人已根据第9.1款[竣工试验的义务]就可以开始进行各项竣工试验的日期通知工程师，但该等试验因发包人原因被延误14天以上的，发包人应承担由此增加的费用和工期延误。同时，承包人应在合理可行的情况下尽快进行竣工试验。</w:t>
      </w:r>
    </w:p>
    <w:p w14:paraId="3D9BB707">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9.2.2承包人无正当理由延误进行竣工试验的，工程师可向其发出通知，要求其在收到通知后的21天内进行该项竣工试验。承包人应在该21天的期限内确定进行试验的日期，并至少提前7天通知工程师。</w:t>
      </w:r>
    </w:p>
    <w:p w14:paraId="6EE56EED">
      <w:pPr>
        <w:widowControl/>
        <w:wordWrap w:val="0"/>
        <w:topLinePunct/>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9.2.3如果承包人未在该期限内进行竣工试验，则发包人有权自行组织该项竣工试验，由此产生的合理费用由承包人承担。发包人应在试验完成后28天内向承包人发送试验结果。</w:t>
      </w:r>
    </w:p>
    <w:p w14:paraId="2FD8BF63">
      <w:pPr>
        <w:widowControl/>
        <w:wordWrap w:val="0"/>
        <w:topLinePunct/>
        <w:adjustRightInd w:val="0"/>
        <w:snapToGrid w:val="0"/>
        <w:spacing w:after="163" w:afterLines="50" w:line="360" w:lineRule="auto"/>
        <w:outlineLvl w:val="2"/>
        <w:rPr>
          <w:rFonts w:ascii="宋体" w:hAnsi="宋体" w:cs="宋体"/>
          <w:color w:val="auto"/>
          <w:highlight w:val="none"/>
        </w:rPr>
      </w:pPr>
      <w:bookmarkStart w:id="1814" w:name="_Toc20171801"/>
      <w:bookmarkEnd w:id="1814"/>
      <w:bookmarkStart w:id="1815" w:name="_Ref532594588"/>
      <w:bookmarkEnd w:id="1815"/>
      <w:bookmarkStart w:id="1816" w:name="_Ref532594592"/>
      <w:bookmarkStart w:id="1817" w:name="_Toc2733"/>
      <w:bookmarkStart w:id="1818" w:name="_Toc7717"/>
      <w:bookmarkStart w:id="1819" w:name="_Toc51766654"/>
      <w:bookmarkStart w:id="1820" w:name="_Toc10777"/>
      <w:bookmarkStart w:id="1821" w:name="_Toc170932522"/>
      <w:bookmarkStart w:id="1822" w:name="_Toc58860241"/>
      <w:bookmarkStart w:id="1823" w:name="_Toc12323"/>
      <w:bookmarkStart w:id="1824" w:name="_Toc84930791"/>
      <w:r>
        <w:rPr>
          <w:rFonts w:hint="eastAsia" w:ascii="宋体" w:hAnsi="宋体" w:cs="宋体"/>
          <w:color w:val="auto"/>
          <w:szCs w:val="21"/>
          <w:highlight w:val="none"/>
          <w:lang w:bidi="ar"/>
        </w:rPr>
        <w:t>9</w:t>
      </w:r>
      <w:bookmarkEnd w:id="1816"/>
      <w:r>
        <w:rPr>
          <w:rFonts w:hint="eastAsia" w:ascii="宋体" w:hAnsi="宋体" w:cs="宋体"/>
          <w:color w:val="auto"/>
          <w:szCs w:val="21"/>
          <w:highlight w:val="none"/>
          <w:lang w:bidi="ar"/>
        </w:rPr>
        <w:t>.3  重新试验</w:t>
      </w:r>
      <w:bookmarkEnd w:id="1817"/>
      <w:bookmarkEnd w:id="1818"/>
      <w:bookmarkEnd w:id="1819"/>
      <w:bookmarkEnd w:id="1820"/>
      <w:bookmarkEnd w:id="1821"/>
      <w:bookmarkEnd w:id="1822"/>
      <w:bookmarkEnd w:id="1823"/>
      <w:bookmarkEnd w:id="1824"/>
      <w:r>
        <w:rPr>
          <w:rFonts w:hint="eastAsia" w:ascii="宋体" w:hAnsi="宋体" w:cs="宋体"/>
          <w:color w:val="auto"/>
          <w:szCs w:val="21"/>
          <w:highlight w:val="none"/>
          <w:lang w:bidi="ar"/>
        </w:rPr>
        <w:t xml:space="preserve"> </w:t>
      </w:r>
    </w:p>
    <w:p w14:paraId="08D9911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6DA77D7F">
      <w:pPr>
        <w:widowControl/>
        <w:wordWrap w:val="0"/>
        <w:topLinePunct/>
        <w:adjustRightInd w:val="0"/>
        <w:snapToGrid w:val="0"/>
        <w:spacing w:after="163" w:afterLines="50" w:line="360" w:lineRule="auto"/>
        <w:outlineLvl w:val="2"/>
        <w:rPr>
          <w:rFonts w:ascii="宋体" w:hAnsi="宋体" w:cs="宋体"/>
          <w:color w:val="auto"/>
          <w:highlight w:val="none"/>
        </w:rPr>
      </w:pPr>
      <w:bookmarkStart w:id="1825" w:name="_Ref532688221"/>
      <w:bookmarkEnd w:id="1825"/>
      <w:bookmarkStart w:id="1826" w:name="_Ref532688226"/>
      <w:bookmarkEnd w:id="1826"/>
      <w:bookmarkStart w:id="1827" w:name="_Toc20171802"/>
      <w:bookmarkStart w:id="1828" w:name="_Toc58860242"/>
      <w:bookmarkStart w:id="1829" w:name="_Toc5444"/>
      <w:bookmarkStart w:id="1830" w:name="_Toc170932523"/>
      <w:bookmarkStart w:id="1831" w:name="_Toc84930792"/>
      <w:bookmarkStart w:id="1832" w:name="_Toc51766655"/>
      <w:bookmarkStart w:id="1833" w:name="_Toc6741"/>
      <w:bookmarkStart w:id="1834" w:name="_Toc12444"/>
      <w:bookmarkStart w:id="1835" w:name="_Toc298"/>
      <w:r>
        <w:rPr>
          <w:rFonts w:hint="eastAsia" w:ascii="宋体" w:hAnsi="宋体" w:cs="宋体"/>
          <w:color w:val="auto"/>
          <w:szCs w:val="21"/>
          <w:highlight w:val="none"/>
          <w:lang w:bidi="ar"/>
        </w:rPr>
        <w:t>9</w:t>
      </w:r>
      <w:bookmarkEnd w:id="1827"/>
      <w:r>
        <w:rPr>
          <w:rFonts w:hint="eastAsia" w:ascii="宋体" w:hAnsi="宋体" w:cs="宋体"/>
          <w:color w:val="auto"/>
          <w:szCs w:val="21"/>
          <w:highlight w:val="none"/>
          <w:lang w:bidi="ar"/>
        </w:rPr>
        <w:t>.4  未能通过竣工试验</w:t>
      </w:r>
      <w:bookmarkEnd w:id="1828"/>
      <w:bookmarkEnd w:id="1829"/>
      <w:bookmarkEnd w:id="1830"/>
      <w:bookmarkEnd w:id="1831"/>
      <w:bookmarkEnd w:id="1832"/>
      <w:bookmarkEnd w:id="1833"/>
      <w:bookmarkEnd w:id="1834"/>
      <w:bookmarkEnd w:id="1835"/>
    </w:p>
    <w:p w14:paraId="6A1D258C">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9.4.1因发包人原因导致竣工试验未能通过的，承包人进行竣工试验的费用由发包人承担，竣工日期相应顺延。</w:t>
      </w:r>
    </w:p>
    <w:p w14:paraId="10D065A9">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9.4.2如果工程或区段工程未能通过根据第9.3款[重新试验]重新进行的竣工试验的，则：</w:t>
      </w:r>
    </w:p>
    <w:p w14:paraId="5002E0F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（1）发包人有权要求承包人根据第6.6款[缺陷和修补]继续进行修补和改正，并根据第9.3款[重新试验]再次进行竣工试验；</w:t>
      </w:r>
    </w:p>
    <w:p w14:paraId="4F5BA66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4376324C">
      <w:pPr>
        <w:widowControl/>
        <w:adjustRightInd w:val="0"/>
        <w:snapToGrid w:val="0"/>
        <w:spacing w:after="163" w:afterLines="50" w:line="360" w:lineRule="auto"/>
        <w:ind w:firstLine="420" w:firstLineChars="200"/>
        <w:rPr>
          <w:rFonts w:ascii="宋体" w:hAnsi="宋体" w:cs="宋体"/>
          <w:color w:val="auto"/>
          <w:kern w:val="0"/>
          <w:highlight w:val="none"/>
        </w:rPr>
      </w:pPr>
      <w:bookmarkStart w:id="1836" w:name="_Ref4621461"/>
      <w:bookmarkEnd w:id="1836"/>
      <w:r>
        <w:rPr>
          <w:rFonts w:hint="eastAsia" w:ascii="宋体" w:hAnsi="宋体" w:cs="宋体"/>
          <w:color w:val="auto"/>
          <w:kern w:val="0"/>
          <w:szCs w:val="21"/>
          <w:highlight w:val="none"/>
          <w:lang w:bidi="ar"/>
        </w:rPr>
        <w:t>（3）未能通过竣工试验，使工程或区段工程的任何主要部分丧失了生产、使用功能时，发包人有权指令承包人更换相关部分，承包人应承担因此增加的费用和误期损害赔偿责任，并赔偿发包人的相应损失；</w:t>
      </w:r>
    </w:p>
    <w:p w14:paraId="433982C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未能通过竣工试验，使整个工程或区段工程丧失了生产、使用功能时，发包人可拒收工程或区段工程，或指令承包人重置相关部分，承包人应承担因此增加的费用和误期损害赔偿责任，并赔偿发包人的相应损失。同时发包人有权根据第16.1款[由发包人解除合同]的约定解除合同。</w:t>
      </w:r>
    </w:p>
    <w:p w14:paraId="7FD363CA">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837" w:name="_Toc20171803"/>
      <w:bookmarkEnd w:id="1837"/>
      <w:bookmarkStart w:id="1838" w:name="_Ref4624043"/>
      <w:bookmarkEnd w:id="1838"/>
      <w:bookmarkStart w:id="1839" w:name="_Ref4618338"/>
      <w:bookmarkEnd w:id="1839"/>
      <w:bookmarkStart w:id="1840" w:name="_Ref4618348"/>
      <w:bookmarkStart w:id="1841" w:name="_Toc17670"/>
      <w:bookmarkStart w:id="1842" w:name="_Toc170932524"/>
      <w:r>
        <w:rPr>
          <w:rFonts w:hint="eastAsia" w:ascii="宋体" w:hAnsi="宋体" w:cs="宋体"/>
          <w:color w:val="auto"/>
          <w:kern w:val="0"/>
          <w:szCs w:val="21"/>
          <w:highlight w:val="none"/>
          <w:lang w:bidi="ar"/>
        </w:rPr>
        <w:t>第1</w:t>
      </w:r>
      <w:bookmarkEnd w:id="1840"/>
      <w:r>
        <w:rPr>
          <w:rFonts w:hint="eastAsia" w:ascii="宋体" w:hAnsi="宋体" w:cs="宋体"/>
          <w:color w:val="auto"/>
          <w:kern w:val="0"/>
          <w:szCs w:val="21"/>
          <w:highlight w:val="none"/>
          <w:lang w:bidi="ar"/>
        </w:rPr>
        <w:t>0条  验收和工程接收</w:t>
      </w:r>
      <w:bookmarkEnd w:id="1841"/>
      <w:bookmarkEnd w:id="1842"/>
    </w:p>
    <w:p w14:paraId="0037CCCE">
      <w:pPr>
        <w:widowControl/>
        <w:wordWrap w:val="0"/>
        <w:topLinePunct/>
        <w:adjustRightInd w:val="0"/>
        <w:snapToGrid w:val="0"/>
        <w:spacing w:after="163" w:afterLines="50" w:line="360" w:lineRule="auto"/>
        <w:outlineLvl w:val="2"/>
        <w:rPr>
          <w:rFonts w:ascii="宋体" w:hAnsi="宋体" w:cs="宋体"/>
          <w:color w:val="auto"/>
          <w:highlight w:val="none"/>
        </w:rPr>
      </w:pPr>
      <w:bookmarkStart w:id="1843" w:name="_Ref532300801"/>
      <w:bookmarkEnd w:id="1843"/>
      <w:bookmarkStart w:id="1844" w:name="_Ref532359152"/>
      <w:bookmarkEnd w:id="1844"/>
      <w:bookmarkStart w:id="1845" w:name="_Ref532301202"/>
      <w:bookmarkEnd w:id="1845"/>
      <w:bookmarkStart w:id="1846" w:name="_Toc20171804"/>
      <w:bookmarkEnd w:id="1846"/>
      <w:bookmarkStart w:id="1847" w:name="_Ref532359143"/>
      <w:bookmarkEnd w:id="1847"/>
      <w:bookmarkStart w:id="1848" w:name="_Ref532300804"/>
      <w:bookmarkEnd w:id="1848"/>
      <w:bookmarkStart w:id="1849" w:name="_Ref532301199"/>
      <w:bookmarkStart w:id="1850" w:name="_Toc365"/>
      <w:bookmarkStart w:id="1851" w:name="_Toc18977"/>
      <w:bookmarkStart w:id="1852" w:name="_Toc84930794"/>
      <w:bookmarkStart w:id="1853" w:name="_Toc58860244"/>
      <w:bookmarkStart w:id="1854" w:name="_Toc170932525"/>
      <w:bookmarkStart w:id="1855" w:name="_Toc14420"/>
      <w:bookmarkStart w:id="1856" w:name="_Toc22862"/>
      <w:bookmarkStart w:id="1857" w:name="_Toc51766657"/>
      <w:r>
        <w:rPr>
          <w:rFonts w:hint="eastAsia" w:ascii="宋体" w:hAnsi="宋体" w:cs="宋体"/>
          <w:color w:val="auto"/>
          <w:szCs w:val="21"/>
          <w:highlight w:val="none"/>
          <w:lang w:bidi="ar"/>
        </w:rPr>
        <w:t>1</w:t>
      </w:r>
      <w:bookmarkEnd w:id="1849"/>
      <w:r>
        <w:rPr>
          <w:rFonts w:hint="eastAsia" w:ascii="宋体" w:hAnsi="宋体" w:cs="宋体"/>
          <w:color w:val="auto"/>
          <w:szCs w:val="21"/>
          <w:highlight w:val="none"/>
          <w:lang w:bidi="ar"/>
        </w:rPr>
        <w:t>0.1  竣工验收</w:t>
      </w:r>
      <w:bookmarkEnd w:id="1850"/>
      <w:bookmarkEnd w:id="1851"/>
      <w:bookmarkEnd w:id="1852"/>
      <w:bookmarkEnd w:id="1853"/>
      <w:bookmarkEnd w:id="1854"/>
      <w:bookmarkEnd w:id="1855"/>
      <w:bookmarkEnd w:id="1856"/>
      <w:bookmarkEnd w:id="1857"/>
    </w:p>
    <w:p w14:paraId="58FDEF1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858" w:name="_Ref532628356"/>
      <w:bookmarkEnd w:id="1858"/>
      <w:r>
        <w:rPr>
          <w:rFonts w:hint="eastAsia" w:ascii="宋体" w:hAnsi="宋体" w:cs="宋体"/>
          <w:color w:val="auto"/>
          <w:szCs w:val="21"/>
          <w:highlight w:val="none"/>
          <w:lang w:bidi="ar"/>
        </w:rPr>
        <w:t>10.1.1竣工验收条件</w:t>
      </w:r>
    </w:p>
    <w:p w14:paraId="4F3F632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工程具备以下条件的，承包人可以申请竣工验收：</w:t>
      </w:r>
    </w:p>
    <w:p w14:paraId="3898B78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7D754F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（2）已按合同约定编制了扫尾工作和缺陷修补工作清单以及相应实施计划；</w:t>
      </w:r>
    </w:p>
    <w:p w14:paraId="0779657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（3）已按合同约定的内容和份数备齐竣工资料；</w:t>
      </w:r>
    </w:p>
    <w:p w14:paraId="5728DB3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（4）合同约定要求在竣工验收前应完成的其他工作。</w:t>
      </w:r>
    </w:p>
    <w:p w14:paraId="25A2EC4C">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859" w:name="_Ref4429424"/>
      <w:bookmarkEnd w:id="1859"/>
      <w:r>
        <w:rPr>
          <w:rFonts w:hint="eastAsia" w:ascii="宋体" w:hAnsi="宋体" w:cs="宋体"/>
          <w:color w:val="auto"/>
          <w:szCs w:val="21"/>
          <w:highlight w:val="none"/>
          <w:lang w:bidi="ar"/>
        </w:rPr>
        <w:t>10.1.2竣工验收程序</w:t>
      </w:r>
    </w:p>
    <w:p w14:paraId="515B7EB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除专用合同条件另有约定外，承包人申请竣工验收的，应当按照以下程序进行：</w:t>
      </w:r>
    </w:p>
    <w:p w14:paraId="4B687F0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3B36E6F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46EE794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095691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（4）因发包人原因，未在工程师收到承包人竣工验收申请报告之日起</w:t>
      </w:r>
      <w:r>
        <w:rPr>
          <w:rFonts w:ascii="宋体" w:hAnsi="宋体" w:cs="宋体"/>
          <w:color w:val="auto"/>
          <w:kern w:val="0"/>
          <w:szCs w:val="21"/>
          <w:highlight w:val="none"/>
          <w:lang w:bidi="ar"/>
        </w:rPr>
        <w:t>42</w:t>
      </w:r>
      <w:r>
        <w:rPr>
          <w:rFonts w:hint="eastAsia" w:ascii="宋体" w:hAnsi="宋体" w:cs="宋体"/>
          <w:color w:val="auto"/>
          <w:kern w:val="0"/>
          <w:szCs w:val="21"/>
          <w:highlight w:val="none"/>
          <w:lang w:bidi="ar"/>
        </w:rPr>
        <w:t>天内完成竣工验收的，以承包人提交竣工验收申请报告之日作为工程实际竣工日期。</w:t>
      </w:r>
    </w:p>
    <w:p w14:paraId="1B59E20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（5）工程未经竣工验收，发包人擅自使用的，以转移占有工程之日为实际竣工日期。</w:t>
      </w:r>
    </w:p>
    <w:p w14:paraId="494E074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除专用合同条件另有约定外，发包人不按照本项和第</w:t>
      </w:r>
      <w:r>
        <w:rPr>
          <w:rFonts w:ascii="宋体" w:hAnsi="宋体" w:cs="宋体"/>
          <w:color w:val="auto"/>
          <w:kern w:val="0"/>
          <w:szCs w:val="21"/>
          <w:highlight w:val="none"/>
          <w:lang w:bidi="ar"/>
        </w:rPr>
        <w:t>10.4</w:t>
      </w:r>
      <w:r>
        <w:rPr>
          <w:rFonts w:hint="eastAsia" w:ascii="宋体" w:hAnsi="宋体" w:cs="宋体"/>
          <w:color w:val="auto"/>
          <w:kern w:val="0"/>
          <w:szCs w:val="21"/>
          <w:highlight w:val="none"/>
          <w:lang w:bidi="ar"/>
        </w:rPr>
        <w:t>款</w:t>
      </w:r>
      <w:r>
        <w:rPr>
          <w:rFonts w:ascii="宋体" w:hAnsi="宋体" w:cs="宋体"/>
          <w:color w:val="auto"/>
          <w:kern w:val="0"/>
          <w:szCs w:val="21"/>
          <w:highlight w:val="none"/>
          <w:lang w:bidi="ar"/>
        </w:rPr>
        <w:t>[接收证书]</w:t>
      </w:r>
      <w:r>
        <w:rPr>
          <w:rFonts w:hint="eastAsia" w:ascii="宋体" w:hAnsi="宋体" w:cs="宋体"/>
          <w:color w:val="auto"/>
          <w:kern w:val="0"/>
          <w:szCs w:val="21"/>
          <w:highlight w:val="none"/>
          <w:lang w:bidi="ar"/>
        </w:rPr>
        <w:t>约定组织竣工验收、颁发工程接收证书的，每逾期一天，应以签约合同价为基数，按照贷款市场报价利率（LPR）支付违约金。</w:t>
      </w:r>
    </w:p>
    <w:p w14:paraId="2C9D7F5E">
      <w:pPr>
        <w:widowControl/>
        <w:wordWrap w:val="0"/>
        <w:topLinePunct/>
        <w:adjustRightInd w:val="0"/>
        <w:snapToGrid w:val="0"/>
        <w:spacing w:after="163" w:afterLines="50" w:line="360" w:lineRule="auto"/>
        <w:outlineLvl w:val="2"/>
        <w:rPr>
          <w:rFonts w:ascii="宋体" w:hAnsi="宋体" w:cs="宋体"/>
          <w:color w:val="auto"/>
          <w:highlight w:val="none"/>
        </w:rPr>
      </w:pPr>
      <w:bookmarkStart w:id="1860" w:name="_Toc20171805"/>
      <w:bookmarkEnd w:id="1860"/>
      <w:bookmarkStart w:id="1861" w:name="_Ref532301213"/>
      <w:bookmarkEnd w:id="1861"/>
      <w:bookmarkStart w:id="1862" w:name="_Ref532301210"/>
      <w:bookmarkStart w:id="1863" w:name="_Toc58860245"/>
      <w:bookmarkStart w:id="1864" w:name="_Toc607"/>
      <w:bookmarkStart w:id="1865" w:name="_Toc17209"/>
      <w:bookmarkStart w:id="1866" w:name="_Toc28155"/>
      <w:bookmarkStart w:id="1867" w:name="_Toc84930795"/>
      <w:bookmarkStart w:id="1868" w:name="_Toc27709"/>
      <w:bookmarkStart w:id="1869" w:name="_Toc51766658"/>
      <w:bookmarkStart w:id="1870" w:name="_Toc170932526"/>
      <w:r>
        <w:rPr>
          <w:rFonts w:hint="eastAsia" w:ascii="宋体" w:hAnsi="宋体" w:cs="宋体"/>
          <w:color w:val="auto"/>
          <w:szCs w:val="21"/>
          <w:highlight w:val="none"/>
          <w:lang w:bidi="ar"/>
        </w:rPr>
        <w:t>1</w:t>
      </w:r>
      <w:bookmarkEnd w:id="1862"/>
      <w:r>
        <w:rPr>
          <w:rFonts w:hint="eastAsia" w:ascii="宋体" w:hAnsi="宋体" w:cs="宋体"/>
          <w:color w:val="auto"/>
          <w:szCs w:val="21"/>
          <w:highlight w:val="none"/>
          <w:lang w:bidi="ar"/>
        </w:rPr>
        <w:t>0.2  单位/区段工程的验收</w:t>
      </w:r>
      <w:bookmarkEnd w:id="1863"/>
      <w:bookmarkEnd w:id="1864"/>
      <w:bookmarkEnd w:id="1865"/>
      <w:bookmarkEnd w:id="1866"/>
      <w:bookmarkEnd w:id="1867"/>
      <w:bookmarkEnd w:id="1868"/>
      <w:bookmarkEnd w:id="1869"/>
      <w:bookmarkEnd w:id="1870"/>
    </w:p>
    <w:p w14:paraId="70B427BE">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10.2.1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5596F3B9">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10.2.2发包人在全部工程竣工前，使用已接收的单位/区段工程导致承包人费用增加的，发包人应承担由此增加的费用和（或）工期延误。</w:t>
      </w:r>
    </w:p>
    <w:p w14:paraId="75C9334C">
      <w:pPr>
        <w:widowControl/>
        <w:wordWrap w:val="0"/>
        <w:topLinePunct/>
        <w:adjustRightInd w:val="0"/>
        <w:snapToGrid w:val="0"/>
        <w:spacing w:after="163" w:afterLines="50" w:line="360" w:lineRule="auto"/>
        <w:outlineLvl w:val="2"/>
        <w:rPr>
          <w:rFonts w:ascii="宋体" w:hAnsi="宋体" w:cs="宋体"/>
          <w:color w:val="auto"/>
          <w:highlight w:val="none"/>
        </w:rPr>
      </w:pPr>
      <w:bookmarkStart w:id="1871" w:name="_Ref532688351"/>
      <w:bookmarkEnd w:id="1871"/>
      <w:bookmarkStart w:id="1872" w:name="_Toc20171806"/>
      <w:bookmarkEnd w:id="1872"/>
      <w:bookmarkStart w:id="1873" w:name="_Ref4429473"/>
      <w:bookmarkEnd w:id="1873"/>
      <w:bookmarkStart w:id="1874" w:name="_Ref532688354"/>
      <w:bookmarkStart w:id="1875" w:name="_Toc51766659"/>
      <w:bookmarkStart w:id="1876" w:name="_Toc13831"/>
      <w:bookmarkStart w:id="1877" w:name="_Toc20684"/>
      <w:bookmarkStart w:id="1878" w:name="_Toc22523"/>
      <w:bookmarkStart w:id="1879" w:name="_Toc23127"/>
      <w:bookmarkStart w:id="1880" w:name="_Toc58860246"/>
      <w:bookmarkStart w:id="1881" w:name="_Toc84930796"/>
      <w:bookmarkStart w:id="1882" w:name="_Toc170932527"/>
      <w:r>
        <w:rPr>
          <w:rFonts w:hint="eastAsia" w:ascii="宋体" w:hAnsi="宋体" w:cs="宋体"/>
          <w:color w:val="auto"/>
          <w:szCs w:val="21"/>
          <w:highlight w:val="none"/>
          <w:lang w:bidi="ar"/>
        </w:rPr>
        <w:t>1</w:t>
      </w:r>
      <w:bookmarkEnd w:id="1874"/>
      <w:r>
        <w:rPr>
          <w:rFonts w:hint="eastAsia" w:ascii="宋体" w:hAnsi="宋体" w:cs="宋体"/>
          <w:color w:val="auto"/>
          <w:szCs w:val="21"/>
          <w:highlight w:val="none"/>
          <w:lang w:bidi="ar"/>
        </w:rPr>
        <w:t>0.3  工程的接收</w:t>
      </w:r>
      <w:bookmarkEnd w:id="1875"/>
      <w:bookmarkEnd w:id="1876"/>
      <w:bookmarkEnd w:id="1877"/>
      <w:bookmarkEnd w:id="1878"/>
      <w:bookmarkEnd w:id="1879"/>
      <w:bookmarkEnd w:id="1880"/>
      <w:bookmarkEnd w:id="1881"/>
      <w:bookmarkEnd w:id="1882"/>
    </w:p>
    <w:p w14:paraId="4AFE5748">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10.3.1根据工程项目的具体情况和特点，可按工程或单位/区段工程进行接收，并在专用合同条件约定接收的先后顺序、时间安排和其他要求。</w:t>
      </w:r>
    </w:p>
    <w:p w14:paraId="7F186433">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10.3.2除按本条约定已经提交的资料外，接收工程时承包人需提交竣工验收资料的类别、内容、份数和提交时间，在专用合同条件中约定。</w:t>
      </w:r>
    </w:p>
    <w:p w14:paraId="09B5565C">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10.3.3发包人无正当理由不接收工程的，发包人自应当接收工程之日起，承担工程照管、成品保护、保管等与工程有关的各项费用，合同当事人可以在专用合同条件中另行约定发包人逾期接收工程的违约责任。</w:t>
      </w:r>
    </w:p>
    <w:p w14:paraId="7438663B">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10.3.4承包人无正当理由不移交工程的，承包人应承担工程照管、成品保护、保管等与工程有关的各项费用，合同当事人可以在专用合同条件中另行约定承包人无正当理由不移交工程的违约责任。</w:t>
      </w:r>
    </w:p>
    <w:p w14:paraId="550D4E51">
      <w:pPr>
        <w:widowControl/>
        <w:wordWrap w:val="0"/>
        <w:topLinePunct/>
        <w:adjustRightInd w:val="0"/>
        <w:snapToGrid w:val="0"/>
        <w:spacing w:after="163" w:afterLines="50" w:line="360" w:lineRule="auto"/>
        <w:outlineLvl w:val="2"/>
        <w:rPr>
          <w:rFonts w:ascii="宋体" w:hAnsi="宋体" w:cs="宋体"/>
          <w:color w:val="auto"/>
          <w:highlight w:val="none"/>
        </w:rPr>
      </w:pPr>
      <w:bookmarkStart w:id="1883" w:name="_Toc3110"/>
      <w:bookmarkStart w:id="1884" w:name="_Toc25476"/>
      <w:bookmarkStart w:id="1885" w:name="_Toc58860247"/>
      <w:bookmarkStart w:id="1886" w:name="_Toc21178"/>
      <w:bookmarkStart w:id="1887" w:name="_Toc170932528"/>
      <w:bookmarkStart w:id="1888" w:name="_Toc84930797"/>
      <w:bookmarkStart w:id="1889" w:name="_Toc51766660"/>
      <w:bookmarkStart w:id="1890" w:name="_Toc18237"/>
      <w:r>
        <w:rPr>
          <w:rFonts w:hint="eastAsia" w:ascii="宋体" w:hAnsi="宋体" w:cs="宋体"/>
          <w:color w:val="auto"/>
          <w:szCs w:val="21"/>
          <w:highlight w:val="none"/>
          <w:lang w:bidi="ar"/>
        </w:rPr>
        <w:t>10.4  接收证书</w:t>
      </w:r>
      <w:bookmarkEnd w:id="1883"/>
      <w:bookmarkEnd w:id="1884"/>
      <w:bookmarkEnd w:id="1885"/>
      <w:bookmarkEnd w:id="1886"/>
      <w:bookmarkEnd w:id="1887"/>
      <w:bookmarkEnd w:id="1888"/>
      <w:bookmarkEnd w:id="1889"/>
      <w:bookmarkEnd w:id="1890"/>
    </w:p>
    <w:p w14:paraId="758408AB">
      <w:pPr>
        <w:widowControl/>
        <w:adjustRightInd w:val="0"/>
        <w:snapToGrid w:val="0"/>
        <w:spacing w:after="163" w:afterLines="50" w:line="360" w:lineRule="auto"/>
        <w:ind w:firstLine="420" w:firstLineChars="200"/>
        <w:rPr>
          <w:rFonts w:ascii="宋体" w:hAnsi="宋体" w:cs="宋体"/>
          <w:color w:val="auto"/>
          <w:highlight w:val="none"/>
        </w:rPr>
      </w:pPr>
      <w:bookmarkStart w:id="1891" w:name="_Ref4429542"/>
      <w:bookmarkEnd w:id="1891"/>
      <w:r>
        <w:rPr>
          <w:rFonts w:hint="eastAsia" w:ascii="宋体" w:hAnsi="宋体" w:cs="宋体"/>
          <w:color w:val="auto"/>
          <w:szCs w:val="21"/>
          <w:highlight w:val="none"/>
          <w:lang w:bidi="ar"/>
        </w:rPr>
        <w:t>10.4.1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14:paraId="41BA7C46">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10.4.2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58ECF13F">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10.4.3竣工验收合格而发包人无正当理由逾期不颁发工程接收证书的，自验收合格后第15天起视为已颁发工程接收证书。</w:t>
      </w:r>
    </w:p>
    <w:p w14:paraId="69DD8908">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10.4.4工程未经验收或验收不合格，发包人擅自使用的，应在转移占有工程后7天内向承包人颁发工程接收证书；发包人无正当理由逾期不颁发工程接收证书的，自转移占有后第15天起视为已颁发工程接收证书。</w:t>
      </w:r>
    </w:p>
    <w:p w14:paraId="5AFBD9FA">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10.4.5存在扫尾工作的，工程接收证书中应当将第14.5.3项[扫尾工作清单]中约定的扫尾工作清单作为工程接收证书附件。</w:t>
      </w:r>
    </w:p>
    <w:p w14:paraId="1B1CE9EE">
      <w:pPr>
        <w:widowControl/>
        <w:wordWrap w:val="0"/>
        <w:topLinePunct/>
        <w:adjustRightInd w:val="0"/>
        <w:snapToGrid w:val="0"/>
        <w:spacing w:after="163" w:afterLines="50" w:line="360" w:lineRule="auto"/>
        <w:outlineLvl w:val="2"/>
        <w:rPr>
          <w:rFonts w:ascii="宋体" w:hAnsi="宋体" w:cs="宋体"/>
          <w:color w:val="auto"/>
          <w:highlight w:val="none"/>
        </w:rPr>
      </w:pPr>
      <w:bookmarkStart w:id="1892" w:name="_Ref4429932"/>
      <w:bookmarkEnd w:id="1892"/>
      <w:bookmarkStart w:id="1893" w:name="_Toc20171808"/>
      <w:bookmarkEnd w:id="1893"/>
      <w:bookmarkStart w:id="1894" w:name="_Ref4429935"/>
      <w:bookmarkStart w:id="1895" w:name="_Toc84930798"/>
      <w:bookmarkStart w:id="1896" w:name="_Toc51766661"/>
      <w:bookmarkStart w:id="1897" w:name="_Toc58860248"/>
      <w:bookmarkStart w:id="1898" w:name="_Toc20349"/>
      <w:bookmarkStart w:id="1899" w:name="_Toc30367"/>
      <w:bookmarkStart w:id="1900" w:name="_Toc18586"/>
      <w:bookmarkStart w:id="1901" w:name="_Toc170932529"/>
      <w:bookmarkStart w:id="1902" w:name="_Toc17852"/>
      <w:r>
        <w:rPr>
          <w:rFonts w:hint="eastAsia" w:ascii="宋体" w:hAnsi="宋体" w:cs="宋体"/>
          <w:color w:val="auto"/>
          <w:szCs w:val="21"/>
          <w:highlight w:val="none"/>
          <w:lang w:bidi="ar"/>
        </w:rPr>
        <w:t>1</w:t>
      </w:r>
      <w:bookmarkEnd w:id="1894"/>
      <w:r>
        <w:rPr>
          <w:rFonts w:hint="eastAsia" w:ascii="宋体" w:hAnsi="宋体" w:cs="宋体"/>
          <w:color w:val="auto"/>
          <w:szCs w:val="21"/>
          <w:highlight w:val="none"/>
          <w:lang w:bidi="ar"/>
        </w:rPr>
        <w:t>0.5  竣工退场</w:t>
      </w:r>
      <w:bookmarkEnd w:id="1895"/>
      <w:bookmarkEnd w:id="1896"/>
      <w:bookmarkEnd w:id="1897"/>
      <w:bookmarkEnd w:id="1898"/>
      <w:bookmarkEnd w:id="1899"/>
      <w:bookmarkEnd w:id="1900"/>
      <w:bookmarkEnd w:id="1901"/>
      <w:bookmarkEnd w:id="1902"/>
    </w:p>
    <w:p w14:paraId="55430E1F">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903" w:name="_Ref4429943"/>
      <w:bookmarkEnd w:id="1903"/>
      <w:r>
        <w:rPr>
          <w:rFonts w:hint="eastAsia" w:ascii="宋体" w:hAnsi="宋体" w:cs="宋体"/>
          <w:color w:val="auto"/>
          <w:szCs w:val="21"/>
          <w:highlight w:val="none"/>
          <w:lang w:bidi="ar"/>
        </w:rPr>
        <w:t>10.5.1竣工退场</w:t>
      </w:r>
    </w:p>
    <w:p w14:paraId="151DF61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颁发工程接收证书后，承包人应对施工现场进行清理，并撤离相关人员，使得施工现场处于以下状态，直至工程师检验合格为止：</w:t>
      </w:r>
    </w:p>
    <w:p w14:paraId="240C026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（1）施工现场内残留的垃圾已全部清除出场；</w:t>
      </w:r>
    </w:p>
    <w:p w14:paraId="6187F53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（2）临时工程已拆除，场地已按合同约定进行清理、平整或复原；</w:t>
      </w:r>
    </w:p>
    <w:p w14:paraId="03EB502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（3）按合同约定应撤离的人员、承包人提供的施工设备和剩余的材料，包括废弃的施工设备和材料，已按计划撤离施工现场；</w:t>
      </w:r>
    </w:p>
    <w:p w14:paraId="0AF3730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（4）施工现场周边及其附近道路、河道的施工堆积物，已全部清理；</w:t>
      </w:r>
    </w:p>
    <w:p w14:paraId="07B9764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（5）施工现场其他竣工退场工作已全部完成。</w:t>
      </w:r>
    </w:p>
    <w:p w14:paraId="66E9730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1C9F2C2F">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10.5.2地表还原</w:t>
      </w:r>
    </w:p>
    <w:p w14:paraId="552A71F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承包人应按合同约定和工程师的要求恢复临时占地及清理场地，否则发包人有权委托其他人恢复或清理，所发生的费用由承包人承担。</w:t>
      </w:r>
    </w:p>
    <w:p w14:paraId="3221A8FD">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904" w:name="_Ref20159437"/>
      <w:bookmarkEnd w:id="1904"/>
      <w:r>
        <w:rPr>
          <w:rFonts w:hint="eastAsia" w:ascii="宋体" w:hAnsi="宋体" w:cs="宋体"/>
          <w:color w:val="auto"/>
          <w:szCs w:val="21"/>
          <w:highlight w:val="none"/>
          <w:lang w:bidi="ar"/>
        </w:rPr>
        <w:t>10.5.3人员撤离</w:t>
      </w:r>
    </w:p>
    <w:p w14:paraId="5F81506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14:paraId="44988453">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905" w:name="_Ref531955009"/>
      <w:bookmarkEnd w:id="1905"/>
      <w:bookmarkStart w:id="1906" w:name="_Ref4796909"/>
      <w:bookmarkEnd w:id="1906"/>
      <w:bookmarkStart w:id="1907" w:name="_Toc20171809"/>
      <w:bookmarkEnd w:id="1907"/>
      <w:bookmarkStart w:id="1908" w:name="_Ref4796906"/>
      <w:bookmarkStart w:id="1909" w:name="_Toc170932530"/>
      <w:bookmarkStart w:id="1910" w:name="_Toc4068"/>
      <w:r>
        <w:rPr>
          <w:rFonts w:hint="eastAsia" w:ascii="宋体" w:hAnsi="宋体" w:cs="宋体"/>
          <w:color w:val="auto"/>
          <w:kern w:val="0"/>
          <w:szCs w:val="21"/>
          <w:highlight w:val="none"/>
          <w:lang w:bidi="ar"/>
        </w:rPr>
        <w:t>第1</w:t>
      </w:r>
      <w:bookmarkEnd w:id="1908"/>
      <w:r>
        <w:rPr>
          <w:rFonts w:hint="eastAsia" w:ascii="宋体" w:hAnsi="宋体" w:cs="宋体"/>
          <w:color w:val="auto"/>
          <w:kern w:val="0"/>
          <w:szCs w:val="21"/>
          <w:highlight w:val="none"/>
          <w:lang w:bidi="ar"/>
        </w:rPr>
        <w:t>1条  缺陷责任与保修</w:t>
      </w:r>
      <w:bookmarkEnd w:id="1909"/>
      <w:bookmarkEnd w:id="1910"/>
      <w:r>
        <w:rPr>
          <w:rFonts w:hint="eastAsia" w:ascii="宋体" w:hAnsi="宋体" w:cs="宋体"/>
          <w:color w:val="auto"/>
          <w:kern w:val="0"/>
          <w:szCs w:val="21"/>
          <w:highlight w:val="none"/>
          <w:lang w:bidi="ar"/>
        </w:rPr>
        <w:t xml:space="preserve"> </w:t>
      </w:r>
    </w:p>
    <w:p w14:paraId="1880D6B2">
      <w:pPr>
        <w:widowControl/>
        <w:wordWrap w:val="0"/>
        <w:topLinePunct/>
        <w:adjustRightInd w:val="0"/>
        <w:snapToGrid w:val="0"/>
        <w:spacing w:after="163" w:afterLines="50" w:line="360" w:lineRule="auto"/>
        <w:outlineLvl w:val="2"/>
        <w:rPr>
          <w:rFonts w:ascii="宋体" w:hAnsi="宋体" w:cs="宋体"/>
          <w:color w:val="auto"/>
          <w:highlight w:val="none"/>
        </w:rPr>
      </w:pPr>
      <w:bookmarkStart w:id="1911" w:name="_Toc296346648"/>
      <w:bookmarkEnd w:id="1911"/>
      <w:bookmarkStart w:id="1912" w:name="_Ref531955248"/>
      <w:bookmarkEnd w:id="1912"/>
      <w:bookmarkStart w:id="1913" w:name="_Ref532362928"/>
      <w:bookmarkEnd w:id="1913"/>
      <w:bookmarkStart w:id="1914" w:name="_Toc337558841"/>
      <w:bookmarkEnd w:id="1914"/>
      <w:bookmarkStart w:id="1915" w:name="_Ref531955245"/>
      <w:bookmarkEnd w:id="1915"/>
      <w:bookmarkStart w:id="1916" w:name="_Toc296503147"/>
      <w:bookmarkEnd w:id="1916"/>
      <w:bookmarkStart w:id="1917" w:name="_Toc20171810"/>
      <w:bookmarkStart w:id="1918" w:name="_Toc58860250"/>
      <w:bookmarkStart w:id="1919" w:name="_Toc15855"/>
      <w:bookmarkStart w:id="1920" w:name="_Toc84930800"/>
      <w:bookmarkStart w:id="1921" w:name="_Toc51766663"/>
      <w:bookmarkStart w:id="1922" w:name="_Toc8299"/>
      <w:bookmarkStart w:id="1923" w:name="_Toc11155"/>
      <w:bookmarkStart w:id="1924" w:name="_Toc170932531"/>
      <w:bookmarkStart w:id="1925" w:name="_Toc32344"/>
      <w:r>
        <w:rPr>
          <w:rFonts w:hint="eastAsia" w:ascii="宋体" w:hAnsi="宋体" w:cs="宋体"/>
          <w:color w:val="auto"/>
          <w:szCs w:val="21"/>
          <w:highlight w:val="none"/>
          <w:lang w:bidi="ar"/>
        </w:rPr>
        <w:t xml:space="preserve">11.1  </w:t>
      </w:r>
      <w:bookmarkEnd w:id="1917"/>
      <w:r>
        <w:rPr>
          <w:rFonts w:hint="eastAsia" w:ascii="宋体" w:hAnsi="宋体" w:cs="宋体"/>
          <w:color w:val="auto"/>
          <w:szCs w:val="21"/>
          <w:highlight w:val="none"/>
          <w:lang w:bidi="ar"/>
        </w:rPr>
        <w:t>工程保修的原则</w:t>
      </w:r>
      <w:bookmarkEnd w:id="1918"/>
      <w:bookmarkEnd w:id="1919"/>
      <w:bookmarkEnd w:id="1920"/>
      <w:bookmarkEnd w:id="1921"/>
      <w:bookmarkEnd w:id="1922"/>
      <w:bookmarkEnd w:id="1923"/>
      <w:bookmarkEnd w:id="1924"/>
      <w:bookmarkEnd w:id="1925"/>
    </w:p>
    <w:p w14:paraId="5828E43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在工程移交发包人后，因承包人原因产生的质量缺陷，承包人应承担质量缺陷责任和保修义务。缺陷责任期届满，承包人仍应按合同约定的工程各部位保修年限承担保修义务。</w:t>
      </w:r>
    </w:p>
    <w:p w14:paraId="1EC3B400">
      <w:pPr>
        <w:widowControl/>
        <w:wordWrap w:val="0"/>
        <w:topLinePunct/>
        <w:adjustRightInd w:val="0"/>
        <w:snapToGrid w:val="0"/>
        <w:spacing w:after="163" w:afterLines="50" w:line="360" w:lineRule="auto"/>
        <w:outlineLvl w:val="2"/>
        <w:rPr>
          <w:rFonts w:ascii="宋体" w:hAnsi="宋体" w:cs="宋体"/>
          <w:color w:val="auto"/>
          <w:highlight w:val="none"/>
        </w:rPr>
      </w:pPr>
      <w:bookmarkStart w:id="1926" w:name="_Toc20171811"/>
      <w:bookmarkEnd w:id="1926"/>
      <w:bookmarkStart w:id="1927" w:name="_Ref4430062"/>
      <w:bookmarkStart w:id="1928" w:name="_Toc58860251"/>
      <w:bookmarkStart w:id="1929" w:name="_Toc25440"/>
      <w:bookmarkStart w:id="1930" w:name="_Toc84930801"/>
      <w:bookmarkStart w:id="1931" w:name="_Toc6594"/>
      <w:bookmarkStart w:id="1932" w:name="_Toc18639"/>
      <w:bookmarkStart w:id="1933" w:name="_Toc170932532"/>
      <w:bookmarkStart w:id="1934" w:name="_Toc12872"/>
      <w:bookmarkStart w:id="1935" w:name="_Toc51766664"/>
      <w:r>
        <w:rPr>
          <w:rFonts w:hint="eastAsia" w:ascii="宋体" w:hAnsi="宋体" w:cs="宋体"/>
          <w:color w:val="auto"/>
          <w:szCs w:val="21"/>
          <w:highlight w:val="none"/>
          <w:lang w:bidi="ar"/>
        </w:rPr>
        <w:t>1</w:t>
      </w:r>
      <w:bookmarkEnd w:id="1927"/>
      <w:r>
        <w:rPr>
          <w:rFonts w:hint="eastAsia" w:ascii="宋体" w:hAnsi="宋体" w:cs="宋体"/>
          <w:color w:val="auto"/>
          <w:szCs w:val="21"/>
          <w:highlight w:val="none"/>
          <w:lang w:bidi="ar"/>
        </w:rPr>
        <w:t>1.2  缺陷责任期</w:t>
      </w:r>
      <w:bookmarkEnd w:id="1928"/>
      <w:bookmarkEnd w:id="1929"/>
      <w:bookmarkEnd w:id="1930"/>
      <w:bookmarkEnd w:id="1931"/>
      <w:bookmarkEnd w:id="1932"/>
      <w:bookmarkEnd w:id="1933"/>
      <w:bookmarkEnd w:id="1934"/>
      <w:bookmarkEnd w:id="1935"/>
      <w:r>
        <w:rPr>
          <w:rFonts w:hint="eastAsia" w:ascii="宋体" w:hAnsi="宋体" w:cs="宋体"/>
          <w:color w:val="auto"/>
          <w:szCs w:val="21"/>
          <w:highlight w:val="none"/>
          <w:lang w:bidi="ar"/>
        </w:rPr>
        <w:t xml:space="preserve"> </w:t>
      </w:r>
    </w:p>
    <w:p w14:paraId="1903CB9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缺陷责任期原则上从工程竣工验收合格之日起计算，合同当事人应在专用合同条件约定缺陷责任期的具体期限，但该期限最长不超过24个月。</w:t>
      </w:r>
    </w:p>
    <w:p w14:paraId="6ACF375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35AEEA4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6FF670C3">
      <w:pPr>
        <w:widowControl/>
        <w:wordWrap w:val="0"/>
        <w:topLinePunct/>
        <w:adjustRightInd w:val="0"/>
        <w:snapToGrid w:val="0"/>
        <w:spacing w:after="163" w:afterLines="50" w:line="360" w:lineRule="auto"/>
        <w:outlineLvl w:val="2"/>
        <w:rPr>
          <w:rFonts w:ascii="宋体" w:hAnsi="宋体" w:cs="宋体"/>
          <w:color w:val="auto"/>
          <w:highlight w:val="none"/>
        </w:rPr>
      </w:pPr>
      <w:bookmarkStart w:id="1936" w:name="_Toc20171812"/>
      <w:bookmarkEnd w:id="1936"/>
      <w:bookmarkStart w:id="1937" w:name="_Ref532662491"/>
      <w:bookmarkEnd w:id="1937"/>
      <w:bookmarkStart w:id="1938" w:name="_Ref532662486"/>
      <w:bookmarkStart w:id="1939" w:name="_Toc51766665"/>
      <w:bookmarkStart w:id="1940" w:name="_Toc29155"/>
      <w:bookmarkStart w:id="1941" w:name="_Toc84930802"/>
      <w:bookmarkStart w:id="1942" w:name="_Toc24642"/>
      <w:bookmarkStart w:id="1943" w:name="_Toc170932533"/>
      <w:bookmarkStart w:id="1944" w:name="_Toc4460"/>
      <w:bookmarkStart w:id="1945" w:name="_Toc58860252"/>
      <w:bookmarkStart w:id="1946" w:name="_Toc11726"/>
      <w:r>
        <w:rPr>
          <w:rFonts w:hint="eastAsia" w:ascii="宋体" w:hAnsi="宋体" w:cs="宋体"/>
          <w:color w:val="auto"/>
          <w:szCs w:val="21"/>
          <w:highlight w:val="none"/>
          <w:lang w:bidi="ar"/>
        </w:rPr>
        <w:t>1</w:t>
      </w:r>
      <w:bookmarkEnd w:id="1938"/>
      <w:r>
        <w:rPr>
          <w:rFonts w:hint="eastAsia" w:ascii="宋体" w:hAnsi="宋体" w:cs="宋体"/>
          <w:color w:val="auto"/>
          <w:szCs w:val="21"/>
          <w:highlight w:val="none"/>
          <w:lang w:bidi="ar"/>
        </w:rPr>
        <w:t>1.3  缺陷</w:t>
      </w:r>
      <w:bookmarkEnd w:id="1939"/>
      <w:bookmarkEnd w:id="1940"/>
      <w:r>
        <w:rPr>
          <w:rFonts w:hint="eastAsia" w:ascii="宋体" w:hAnsi="宋体" w:cs="宋体"/>
          <w:color w:val="auto"/>
          <w:szCs w:val="21"/>
          <w:highlight w:val="none"/>
          <w:lang w:bidi="ar"/>
        </w:rPr>
        <w:t>调查</w:t>
      </w:r>
      <w:bookmarkEnd w:id="1941"/>
      <w:bookmarkEnd w:id="1942"/>
      <w:bookmarkEnd w:id="1943"/>
      <w:bookmarkEnd w:id="1944"/>
      <w:bookmarkEnd w:id="1945"/>
      <w:bookmarkEnd w:id="1946"/>
    </w:p>
    <w:p w14:paraId="66EDBAFB">
      <w:pPr>
        <w:widowControl/>
        <w:wordWrap w:val="0"/>
        <w:topLinePunct/>
        <w:adjustRightInd w:val="0"/>
        <w:snapToGrid w:val="0"/>
        <w:spacing w:after="163" w:afterLines="50" w:line="360" w:lineRule="auto"/>
        <w:ind w:left="480"/>
        <w:outlineLvl w:val="3"/>
        <w:rPr>
          <w:rFonts w:ascii="宋体" w:hAnsi="宋体" w:cs="宋体"/>
          <w:b/>
          <w:color w:val="auto"/>
          <w:szCs w:val="21"/>
          <w:highlight w:val="none"/>
          <w:lang w:bidi="ar"/>
        </w:rPr>
      </w:pPr>
      <w:r>
        <w:rPr>
          <w:rFonts w:hint="eastAsia" w:ascii="宋体" w:hAnsi="宋体" w:cs="宋体"/>
          <w:color w:val="auto"/>
          <w:szCs w:val="21"/>
          <w:highlight w:val="none"/>
          <w:lang w:bidi="ar"/>
        </w:rPr>
        <w:t>1</w:t>
      </w:r>
      <w:r>
        <w:rPr>
          <w:rFonts w:ascii="宋体" w:hAnsi="宋体" w:cs="宋体"/>
          <w:color w:val="auto"/>
          <w:szCs w:val="21"/>
          <w:highlight w:val="none"/>
          <w:lang w:bidi="ar"/>
        </w:rPr>
        <w:t xml:space="preserve">1.3.1 </w:t>
      </w:r>
      <w:r>
        <w:rPr>
          <w:rFonts w:hint="eastAsia" w:ascii="宋体" w:hAnsi="宋体" w:cs="宋体"/>
          <w:color w:val="auto"/>
          <w:szCs w:val="21"/>
          <w:highlight w:val="none"/>
          <w:lang w:bidi="ar"/>
        </w:rPr>
        <w:t>承包人缺陷调查</w:t>
      </w:r>
    </w:p>
    <w:p w14:paraId="7C86F27F">
      <w:pPr>
        <w:widowControl/>
        <w:adjustRightInd w:val="0"/>
        <w:snapToGrid w:val="0"/>
        <w:spacing w:after="163" w:afterLines="5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12E296F2">
      <w:pPr>
        <w:widowControl/>
        <w:adjustRightInd w:val="0"/>
        <w:snapToGrid w:val="0"/>
        <w:spacing w:after="163" w:afterLines="5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779E5A53">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11.3.</w:t>
      </w:r>
      <w:r>
        <w:rPr>
          <w:rFonts w:ascii="宋体" w:hAnsi="宋体" w:cs="宋体"/>
          <w:color w:val="auto"/>
          <w:szCs w:val="21"/>
          <w:highlight w:val="none"/>
          <w:lang w:bidi="ar"/>
        </w:rPr>
        <w:t>2</w:t>
      </w:r>
      <w:r>
        <w:rPr>
          <w:rFonts w:hint="eastAsia" w:ascii="宋体" w:hAnsi="宋体" w:cs="宋体"/>
          <w:color w:val="auto"/>
          <w:szCs w:val="21"/>
          <w:highlight w:val="none"/>
          <w:lang w:bidi="ar"/>
        </w:rPr>
        <w:t>缺陷责任</w:t>
      </w:r>
    </w:p>
    <w:p w14:paraId="5F0132B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544CED9E">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11.3.</w:t>
      </w:r>
      <w:r>
        <w:rPr>
          <w:rFonts w:ascii="宋体" w:hAnsi="宋体" w:cs="宋体"/>
          <w:color w:val="auto"/>
          <w:szCs w:val="21"/>
          <w:highlight w:val="none"/>
          <w:lang w:bidi="ar"/>
        </w:rPr>
        <w:t>3</w:t>
      </w:r>
      <w:r>
        <w:rPr>
          <w:rFonts w:hint="eastAsia" w:ascii="宋体" w:hAnsi="宋体" w:cs="宋体"/>
          <w:color w:val="auto"/>
          <w:szCs w:val="21"/>
          <w:highlight w:val="none"/>
          <w:lang w:bidi="ar"/>
        </w:rPr>
        <w:t>修复费用</w:t>
      </w:r>
    </w:p>
    <w:p w14:paraId="4413948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发包人和承包人应共同查清缺陷或损坏的原因。经查明属承包人原因造成的，应由承包人承担修复的费用。经查验非承包人原因造成的，发包人应承担修复的费用。</w:t>
      </w:r>
    </w:p>
    <w:p w14:paraId="6BB57DD3">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947" w:name="_Ref531955041"/>
      <w:bookmarkEnd w:id="1947"/>
      <w:r>
        <w:rPr>
          <w:rFonts w:hint="eastAsia" w:ascii="宋体" w:hAnsi="宋体" w:cs="宋体"/>
          <w:color w:val="auto"/>
          <w:szCs w:val="21"/>
          <w:highlight w:val="none"/>
          <w:lang w:bidi="ar"/>
        </w:rPr>
        <w:t>11.3.</w:t>
      </w:r>
      <w:r>
        <w:rPr>
          <w:rFonts w:ascii="宋体" w:hAnsi="宋体" w:cs="宋体"/>
          <w:color w:val="auto"/>
          <w:szCs w:val="21"/>
          <w:highlight w:val="none"/>
          <w:lang w:bidi="ar"/>
        </w:rPr>
        <w:t>4</w:t>
      </w:r>
      <w:r>
        <w:rPr>
          <w:rFonts w:hint="eastAsia" w:ascii="宋体" w:hAnsi="宋体" w:cs="宋体"/>
          <w:color w:val="auto"/>
          <w:szCs w:val="21"/>
          <w:highlight w:val="none"/>
          <w:lang w:bidi="ar"/>
        </w:rPr>
        <w:t>修复通知</w:t>
      </w:r>
    </w:p>
    <w:p w14:paraId="54E7D15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1A82E5F3">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11.3.</w:t>
      </w:r>
      <w:r>
        <w:rPr>
          <w:rFonts w:ascii="宋体" w:hAnsi="宋体" w:cs="宋体"/>
          <w:color w:val="auto"/>
          <w:szCs w:val="21"/>
          <w:highlight w:val="none"/>
          <w:lang w:bidi="ar"/>
        </w:rPr>
        <w:t>5</w:t>
      </w:r>
      <w:r>
        <w:rPr>
          <w:rFonts w:hint="eastAsia" w:ascii="宋体" w:hAnsi="宋体" w:cs="宋体"/>
          <w:color w:val="auto"/>
          <w:szCs w:val="21"/>
          <w:highlight w:val="none"/>
          <w:lang w:bidi="ar"/>
        </w:rPr>
        <w:t>在现场外修复</w:t>
      </w:r>
    </w:p>
    <w:p w14:paraId="5A61C4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79D0ECDF">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1948" w:name="_Ref4534291"/>
      <w:bookmarkEnd w:id="1948"/>
      <w:r>
        <w:rPr>
          <w:rFonts w:hint="eastAsia" w:ascii="宋体" w:hAnsi="宋体" w:cs="宋体"/>
          <w:color w:val="auto"/>
          <w:szCs w:val="21"/>
          <w:highlight w:val="none"/>
          <w:lang w:bidi="ar"/>
        </w:rPr>
        <w:t>11.3.</w:t>
      </w:r>
      <w:r>
        <w:rPr>
          <w:rFonts w:ascii="宋体" w:hAnsi="宋体" w:cs="宋体"/>
          <w:color w:val="auto"/>
          <w:szCs w:val="21"/>
          <w:highlight w:val="none"/>
          <w:lang w:bidi="ar"/>
        </w:rPr>
        <w:t>6</w:t>
      </w:r>
      <w:r>
        <w:rPr>
          <w:rFonts w:hint="eastAsia" w:ascii="宋体" w:hAnsi="宋体" w:cs="宋体"/>
          <w:color w:val="auto"/>
          <w:szCs w:val="21"/>
          <w:highlight w:val="none"/>
          <w:lang w:bidi="ar"/>
        </w:rPr>
        <w:t>未能修复</w:t>
      </w:r>
    </w:p>
    <w:p w14:paraId="1AA54DF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F0023E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如果工程或工程设备的缺陷或损害使发包人实质上失去了工程的整体功能，发包人有权向承包人追回已支付的工程款项，并要求其赔偿发包人相应损失。</w:t>
      </w:r>
    </w:p>
    <w:p w14:paraId="76593DCB">
      <w:pPr>
        <w:widowControl/>
        <w:wordWrap w:val="0"/>
        <w:topLinePunct/>
        <w:adjustRightInd w:val="0"/>
        <w:snapToGrid w:val="0"/>
        <w:spacing w:after="163" w:afterLines="50" w:line="360" w:lineRule="auto"/>
        <w:outlineLvl w:val="2"/>
        <w:rPr>
          <w:rFonts w:ascii="宋体" w:hAnsi="宋体" w:cs="宋体"/>
          <w:color w:val="auto"/>
          <w:highlight w:val="none"/>
        </w:rPr>
      </w:pPr>
      <w:bookmarkStart w:id="1949" w:name="_Toc20171813"/>
      <w:bookmarkEnd w:id="1949"/>
      <w:bookmarkStart w:id="1950" w:name="_Ref532662552"/>
      <w:bookmarkEnd w:id="1950"/>
      <w:bookmarkStart w:id="1951" w:name="_Ref532662554"/>
      <w:bookmarkEnd w:id="1951"/>
      <w:bookmarkStart w:id="1952" w:name="_Toc84930803"/>
      <w:bookmarkStart w:id="1953" w:name="_Toc7565"/>
      <w:bookmarkStart w:id="1954" w:name="_Toc17172"/>
      <w:bookmarkStart w:id="1955" w:name="_Toc170932534"/>
      <w:bookmarkStart w:id="1956" w:name="_Toc23187"/>
      <w:bookmarkStart w:id="1957" w:name="_Toc29755"/>
      <w:bookmarkStart w:id="1958" w:name="_Toc51766666"/>
      <w:bookmarkStart w:id="1959" w:name="_Toc58860253"/>
      <w:r>
        <w:rPr>
          <w:rFonts w:hint="eastAsia" w:ascii="宋体" w:hAnsi="宋体" w:cs="宋体"/>
          <w:color w:val="auto"/>
          <w:szCs w:val="21"/>
          <w:highlight w:val="none"/>
          <w:lang w:bidi="ar"/>
        </w:rPr>
        <w:t>11.4  缺陷修复后的进一步试验</w:t>
      </w:r>
      <w:bookmarkEnd w:id="1952"/>
      <w:bookmarkEnd w:id="1953"/>
      <w:bookmarkEnd w:id="1954"/>
      <w:bookmarkEnd w:id="1955"/>
      <w:bookmarkEnd w:id="1956"/>
      <w:bookmarkEnd w:id="1957"/>
      <w:bookmarkEnd w:id="1958"/>
      <w:bookmarkEnd w:id="1959"/>
    </w:p>
    <w:p w14:paraId="2A109B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7164791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所有的重复试验应按照适用于先前试验的条款进行，但应由责任方承担修补工作的成本和重新试验的风险和费用。</w:t>
      </w:r>
    </w:p>
    <w:p w14:paraId="275B152C">
      <w:pPr>
        <w:widowControl/>
        <w:wordWrap w:val="0"/>
        <w:topLinePunct/>
        <w:adjustRightInd w:val="0"/>
        <w:snapToGrid w:val="0"/>
        <w:spacing w:after="163" w:afterLines="50" w:line="360" w:lineRule="auto"/>
        <w:outlineLvl w:val="2"/>
        <w:rPr>
          <w:rFonts w:ascii="宋体" w:hAnsi="宋体" w:cs="宋体"/>
          <w:color w:val="auto"/>
          <w:highlight w:val="none"/>
        </w:rPr>
      </w:pPr>
      <w:bookmarkStart w:id="1960" w:name="_Toc20171814"/>
      <w:bookmarkEnd w:id="1960"/>
      <w:bookmarkStart w:id="1961" w:name="_Toc170932535"/>
      <w:bookmarkStart w:id="1962" w:name="_Toc31304"/>
      <w:bookmarkStart w:id="1963" w:name="_Toc28139"/>
      <w:bookmarkStart w:id="1964" w:name="_Toc1616"/>
      <w:bookmarkStart w:id="1965" w:name="_Toc51766667"/>
      <w:bookmarkStart w:id="1966" w:name="_Toc15540"/>
      <w:bookmarkStart w:id="1967" w:name="_Toc58860254"/>
      <w:bookmarkStart w:id="1968" w:name="_Toc84930804"/>
      <w:r>
        <w:rPr>
          <w:rFonts w:hint="eastAsia" w:ascii="宋体" w:hAnsi="宋体" w:cs="宋体"/>
          <w:color w:val="auto"/>
          <w:szCs w:val="21"/>
          <w:highlight w:val="none"/>
          <w:lang w:bidi="ar"/>
        </w:rPr>
        <w:t>11.5  承包人出入权</w:t>
      </w:r>
      <w:bookmarkEnd w:id="1961"/>
      <w:bookmarkEnd w:id="1962"/>
      <w:bookmarkEnd w:id="1963"/>
      <w:bookmarkEnd w:id="1964"/>
      <w:bookmarkEnd w:id="1965"/>
      <w:bookmarkEnd w:id="1966"/>
      <w:bookmarkEnd w:id="1967"/>
      <w:bookmarkEnd w:id="1968"/>
    </w:p>
    <w:p w14:paraId="131534E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67A0CBA5">
      <w:pPr>
        <w:widowControl/>
        <w:wordWrap w:val="0"/>
        <w:topLinePunct/>
        <w:adjustRightInd w:val="0"/>
        <w:snapToGrid w:val="0"/>
        <w:spacing w:after="163" w:afterLines="50" w:line="360" w:lineRule="auto"/>
        <w:outlineLvl w:val="2"/>
        <w:rPr>
          <w:rFonts w:ascii="宋体" w:hAnsi="宋体" w:cs="宋体"/>
          <w:color w:val="auto"/>
          <w:highlight w:val="none"/>
        </w:rPr>
      </w:pPr>
      <w:bookmarkStart w:id="1969" w:name="_Toc20171815"/>
      <w:bookmarkEnd w:id="1969"/>
      <w:bookmarkStart w:id="1970" w:name="_Toc58860255"/>
      <w:bookmarkStart w:id="1971" w:name="_Toc13169"/>
      <w:bookmarkStart w:id="1972" w:name="_Toc51766668"/>
      <w:bookmarkStart w:id="1973" w:name="_Toc84930805"/>
      <w:bookmarkStart w:id="1974" w:name="_Toc21746"/>
      <w:bookmarkStart w:id="1975" w:name="_Toc29218"/>
      <w:bookmarkStart w:id="1976" w:name="_Toc1009"/>
      <w:bookmarkStart w:id="1977" w:name="_Toc170932536"/>
      <w:r>
        <w:rPr>
          <w:rFonts w:hint="eastAsia" w:ascii="宋体" w:hAnsi="宋体" w:cs="宋体"/>
          <w:color w:val="auto"/>
          <w:szCs w:val="21"/>
          <w:highlight w:val="none"/>
          <w:lang w:bidi="ar"/>
        </w:rPr>
        <w:t>11.6</w:t>
      </w:r>
      <w:bookmarkEnd w:id="1970"/>
      <w:r>
        <w:rPr>
          <w:rFonts w:hint="eastAsia" w:ascii="宋体" w:hAnsi="宋体" w:cs="宋体"/>
          <w:color w:val="auto"/>
          <w:szCs w:val="21"/>
          <w:highlight w:val="none"/>
          <w:lang w:bidi="ar"/>
        </w:rPr>
        <w:t xml:space="preserve">  </w:t>
      </w:r>
      <w:bookmarkEnd w:id="1971"/>
      <w:bookmarkEnd w:id="1972"/>
      <w:bookmarkStart w:id="1978" w:name="_Ref4430229"/>
      <w:bookmarkEnd w:id="1978"/>
      <w:bookmarkStart w:id="1979" w:name="_Ref4430223"/>
      <w:bookmarkEnd w:id="1979"/>
      <w:bookmarkStart w:id="1980" w:name="_Toc25296"/>
      <w:bookmarkStart w:id="1981" w:name="_Toc51766669"/>
      <w:bookmarkStart w:id="1982" w:name="_Toc58860256"/>
      <w:r>
        <w:rPr>
          <w:rFonts w:hint="eastAsia" w:ascii="宋体" w:hAnsi="宋体" w:cs="宋体"/>
          <w:color w:val="auto"/>
          <w:szCs w:val="21"/>
          <w:highlight w:val="none"/>
          <w:lang w:bidi="ar"/>
        </w:rPr>
        <w:t>缺陷责任期终止证书</w:t>
      </w:r>
      <w:bookmarkEnd w:id="1973"/>
      <w:bookmarkEnd w:id="1974"/>
      <w:bookmarkEnd w:id="1975"/>
      <w:bookmarkEnd w:id="1976"/>
      <w:bookmarkEnd w:id="1977"/>
      <w:bookmarkEnd w:id="1980"/>
      <w:bookmarkEnd w:id="1981"/>
      <w:bookmarkEnd w:id="1982"/>
    </w:p>
    <w:p w14:paraId="45EC331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w:t>
      </w:r>
      <w:bookmarkStart w:id="1983" w:name="_Hlk4686672"/>
      <w:r>
        <w:rPr>
          <w:rFonts w:hint="eastAsia" w:ascii="宋体" w:hAnsi="宋体" w:cs="宋体"/>
          <w:color w:val="auto"/>
          <w:kern w:val="0"/>
          <w:szCs w:val="21"/>
          <w:highlight w:val="none"/>
          <w:lang w:bidi="ar"/>
        </w:rPr>
        <w:t>承包人应于缺陷责任期届满前7天内向发包人发出缺陷责任期即将届满通知，发包人应在收到通知后</w:t>
      </w:r>
      <w:bookmarkEnd w:id="1983"/>
      <w:r>
        <w:rPr>
          <w:rFonts w:hint="eastAsia" w:ascii="宋体" w:hAnsi="宋体" w:cs="宋体"/>
          <w:color w:val="auto"/>
          <w:kern w:val="0"/>
          <w:szCs w:val="21"/>
          <w:highlight w:val="none"/>
          <w:lang w:bidi="ar"/>
        </w:rPr>
        <w:t>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p>
    <w:p w14:paraId="194C170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如根据第10.5.3项[人员撤离]承包人在施工现场还留有人员、施工设备和临时工程的，承包人应当在收到缺陷责任期终止证书后28天内，将上述人员、施工设备和临时工程撤离施工现场。</w:t>
      </w:r>
    </w:p>
    <w:p w14:paraId="7D803483">
      <w:pPr>
        <w:widowControl/>
        <w:wordWrap w:val="0"/>
        <w:topLinePunct/>
        <w:adjustRightInd w:val="0"/>
        <w:snapToGrid w:val="0"/>
        <w:spacing w:after="163" w:afterLines="50" w:line="360" w:lineRule="auto"/>
        <w:outlineLvl w:val="2"/>
        <w:rPr>
          <w:rFonts w:ascii="宋体" w:hAnsi="宋体" w:cs="宋体"/>
          <w:color w:val="auto"/>
          <w:highlight w:val="none"/>
        </w:rPr>
      </w:pPr>
      <w:bookmarkStart w:id="1984" w:name="_Toc20171817"/>
      <w:bookmarkEnd w:id="1984"/>
      <w:bookmarkStart w:id="1985" w:name="_Ref4430272"/>
      <w:bookmarkStart w:id="1986" w:name="_Toc170932537"/>
      <w:bookmarkStart w:id="1987" w:name="_Toc84930806"/>
      <w:bookmarkStart w:id="1988" w:name="_Toc18712"/>
      <w:bookmarkStart w:id="1989" w:name="_Toc58860257"/>
      <w:bookmarkStart w:id="1990" w:name="_Toc6432"/>
      <w:bookmarkStart w:id="1991" w:name="_Toc51766670"/>
      <w:bookmarkStart w:id="1992" w:name="_Toc9809"/>
      <w:bookmarkStart w:id="1993" w:name="_Toc1339"/>
      <w:r>
        <w:rPr>
          <w:rFonts w:hint="eastAsia" w:ascii="宋体" w:hAnsi="宋体" w:cs="宋体"/>
          <w:color w:val="auto"/>
          <w:szCs w:val="21"/>
          <w:highlight w:val="none"/>
          <w:lang w:bidi="ar"/>
        </w:rPr>
        <w:t>1</w:t>
      </w:r>
      <w:bookmarkEnd w:id="1985"/>
      <w:r>
        <w:rPr>
          <w:rFonts w:hint="eastAsia" w:ascii="宋体" w:hAnsi="宋体" w:cs="宋体"/>
          <w:color w:val="auto"/>
          <w:szCs w:val="21"/>
          <w:highlight w:val="none"/>
          <w:lang w:bidi="ar"/>
        </w:rPr>
        <w:t>1.</w:t>
      </w:r>
      <w:r>
        <w:rPr>
          <w:rFonts w:ascii="宋体" w:hAnsi="宋体" w:cs="宋体"/>
          <w:color w:val="auto"/>
          <w:szCs w:val="21"/>
          <w:highlight w:val="none"/>
          <w:lang w:bidi="ar"/>
        </w:rPr>
        <w:t>7</w:t>
      </w:r>
      <w:r>
        <w:rPr>
          <w:rFonts w:hint="eastAsia" w:ascii="宋体" w:hAnsi="宋体" w:cs="宋体"/>
          <w:color w:val="auto"/>
          <w:szCs w:val="21"/>
          <w:highlight w:val="none"/>
          <w:lang w:bidi="ar"/>
        </w:rPr>
        <w:t xml:space="preserve">  保修责任</w:t>
      </w:r>
      <w:bookmarkEnd w:id="1986"/>
      <w:bookmarkEnd w:id="1987"/>
      <w:bookmarkEnd w:id="1988"/>
      <w:bookmarkEnd w:id="1989"/>
      <w:bookmarkEnd w:id="1990"/>
      <w:bookmarkEnd w:id="1991"/>
      <w:bookmarkEnd w:id="1992"/>
      <w:bookmarkEnd w:id="1993"/>
    </w:p>
    <w:p w14:paraId="309A64E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因承包人原因导致的质量缺陷责任，由合同当事人根据有关法律规定，在专用合同条件和工程质量保修书中约定工程质量保修范围、期限和责任。</w:t>
      </w:r>
      <w:bookmarkStart w:id="1994" w:name="_Ref531958289"/>
      <w:bookmarkEnd w:id="1994"/>
      <w:bookmarkStart w:id="1995" w:name="_Ref531957860"/>
      <w:bookmarkEnd w:id="1995"/>
    </w:p>
    <w:p w14:paraId="71DDEA2A">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1996" w:name="_Ref4796958"/>
      <w:bookmarkEnd w:id="1996"/>
      <w:bookmarkStart w:id="1997" w:name="_Toc20171818"/>
      <w:bookmarkEnd w:id="1997"/>
      <w:bookmarkStart w:id="1998" w:name="_Ref4621057"/>
      <w:bookmarkEnd w:id="1998"/>
      <w:bookmarkStart w:id="1999" w:name="_Ref4621065"/>
      <w:bookmarkEnd w:id="1999"/>
      <w:bookmarkStart w:id="2000" w:name="_Ref4796955"/>
      <w:bookmarkStart w:id="2001" w:name="_Toc170932538"/>
      <w:bookmarkStart w:id="2002" w:name="_Toc25158"/>
      <w:r>
        <w:rPr>
          <w:rFonts w:hint="eastAsia" w:ascii="宋体" w:hAnsi="宋体" w:cs="宋体"/>
          <w:color w:val="auto"/>
          <w:kern w:val="0"/>
          <w:szCs w:val="21"/>
          <w:highlight w:val="none"/>
          <w:lang w:bidi="ar"/>
        </w:rPr>
        <w:t>第1</w:t>
      </w:r>
      <w:bookmarkEnd w:id="2000"/>
      <w:r>
        <w:rPr>
          <w:rFonts w:hint="eastAsia" w:ascii="宋体" w:hAnsi="宋体" w:cs="宋体"/>
          <w:color w:val="auto"/>
          <w:kern w:val="0"/>
          <w:szCs w:val="21"/>
          <w:highlight w:val="none"/>
          <w:lang w:bidi="ar"/>
        </w:rPr>
        <w:t>2条  竣工后试验</w:t>
      </w:r>
      <w:bookmarkEnd w:id="2001"/>
      <w:bookmarkEnd w:id="2002"/>
    </w:p>
    <w:p w14:paraId="702E2CA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本合同工程包含竣工后试验的，遵守本条约定。</w:t>
      </w:r>
    </w:p>
    <w:p w14:paraId="1015F24E">
      <w:pPr>
        <w:widowControl/>
        <w:wordWrap w:val="0"/>
        <w:topLinePunct/>
        <w:adjustRightInd w:val="0"/>
        <w:snapToGrid w:val="0"/>
        <w:spacing w:after="163" w:afterLines="50" w:line="360" w:lineRule="auto"/>
        <w:outlineLvl w:val="2"/>
        <w:rPr>
          <w:rFonts w:ascii="宋体" w:hAnsi="宋体" w:cs="宋体"/>
          <w:color w:val="auto"/>
          <w:highlight w:val="none"/>
        </w:rPr>
      </w:pPr>
      <w:bookmarkStart w:id="2003" w:name="_Ref531954601"/>
      <w:bookmarkEnd w:id="2003"/>
      <w:bookmarkStart w:id="2004" w:name="_Ref531954694"/>
      <w:bookmarkEnd w:id="2004"/>
      <w:bookmarkStart w:id="2005" w:name="_Toc20171819"/>
      <w:bookmarkEnd w:id="2005"/>
      <w:bookmarkStart w:id="2006" w:name="_Ref531954604"/>
      <w:bookmarkEnd w:id="2006"/>
      <w:bookmarkStart w:id="2007" w:name="_Hlk522259976"/>
      <w:bookmarkStart w:id="2008" w:name="_Toc3570"/>
      <w:bookmarkStart w:id="2009" w:name="_Toc84930808"/>
      <w:bookmarkStart w:id="2010" w:name="_Toc170932539"/>
      <w:bookmarkStart w:id="2011" w:name="_Toc51766672"/>
      <w:bookmarkStart w:id="2012" w:name="_Toc31259"/>
      <w:bookmarkStart w:id="2013" w:name="_Toc7019"/>
      <w:bookmarkStart w:id="2014" w:name="_Toc8331"/>
      <w:bookmarkStart w:id="2015" w:name="_Toc58860259"/>
      <w:r>
        <w:rPr>
          <w:rFonts w:hint="eastAsia" w:ascii="宋体" w:hAnsi="宋体" w:cs="宋体"/>
          <w:color w:val="auto"/>
          <w:szCs w:val="21"/>
          <w:highlight w:val="none"/>
          <w:lang w:bidi="ar"/>
        </w:rPr>
        <w:t>1</w:t>
      </w:r>
      <w:bookmarkEnd w:id="2007"/>
      <w:r>
        <w:rPr>
          <w:rFonts w:hint="eastAsia" w:ascii="宋体" w:hAnsi="宋体" w:cs="宋体"/>
          <w:color w:val="auto"/>
          <w:szCs w:val="21"/>
          <w:highlight w:val="none"/>
          <w:lang w:bidi="ar"/>
        </w:rPr>
        <w:t>2.1  竣工后试验的程序</w:t>
      </w:r>
      <w:bookmarkEnd w:id="2008"/>
      <w:bookmarkEnd w:id="2009"/>
      <w:bookmarkEnd w:id="2010"/>
      <w:bookmarkEnd w:id="2011"/>
      <w:bookmarkEnd w:id="2012"/>
      <w:bookmarkEnd w:id="2013"/>
      <w:bookmarkEnd w:id="2014"/>
      <w:bookmarkEnd w:id="2015"/>
    </w:p>
    <w:p w14:paraId="089F574B">
      <w:pPr>
        <w:widowControl/>
        <w:adjustRightInd w:val="0"/>
        <w:snapToGrid w:val="0"/>
        <w:spacing w:after="163" w:afterLines="50" w:line="360" w:lineRule="auto"/>
        <w:ind w:firstLine="420" w:firstLineChars="200"/>
        <w:rPr>
          <w:rFonts w:ascii="宋体" w:hAnsi="宋体" w:cs="宋体"/>
          <w:color w:val="auto"/>
          <w:highlight w:val="none"/>
        </w:rPr>
      </w:pPr>
      <w:bookmarkStart w:id="2016" w:name="_Ref11920184"/>
      <w:bookmarkEnd w:id="2016"/>
      <w:r>
        <w:rPr>
          <w:rFonts w:hint="eastAsia" w:ascii="宋体" w:hAnsi="宋体" w:cs="宋体"/>
          <w:color w:val="auto"/>
          <w:szCs w:val="21"/>
          <w:highlight w:val="none"/>
          <w:lang w:bidi="ar"/>
        </w:rPr>
        <w:t>12.1.1工程或区段工程被发包人接收后，在合理可行的情况下应根据合同约定尽早进行竣工后试验。</w:t>
      </w:r>
    </w:p>
    <w:p w14:paraId="116227D9">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12.1.2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6A65F32A">
      <w:pPr>
        <w:widowControl/>
        <w:adjustRightInd w:val="0"/>
        <w:snapToGrid w:val="0"/>
        <w:spacing w:after="163" w:afterLines="50" w:line="360" w:lineRule="auto"/>
        <w:ind w:firstLine="420" w:firstLineChars="200"/>
        <w:rPr>
          <w:rFonts w:ascii="宋体" w:hAnsi="宋体" w:cs="宋体"/>
          <w:color w:val="auto"/>
          <w:highlight w:val="none"/>
        </w:rPr>
      </w:pPr>
      <w:bookmarkStart w:id="2017" w:name="_Ref11920162"/>
      <w:bookmarkEnd w:id="2017"/>
      <w:r>
        <w:rPr>
          <w:rFonts w:hint="eastAsia" w:ascii="宋体" w:hAnsi="宋体" w:cs="宋体"/>
          <w:color w:val="auto"/>
          <w:szCs w:val="21"/>
          <w:highlight w:val="none"/>
          <w:lang w:bidi="ar"/>
        </w:rPr>
        <w:t>12.1.3除《发包人要求》另有约定外，发包人应在合理可行的情况下尽快进行每项竣工后试验，并至少提前21天将该项竣工后试验的内容、地点和时间，以及显示其他竣工后试验拟开展时间的竣工后试验计划通知承包人。</w:t>
      </w:r>
    </w:p>
    <w:p w14:paraId="4926BF0F">
      <w:pPr>
        <w:widowControl/>
        <w:adjustRightInd w:val="0"/>
        <w:snapToGrid w:val="0"/>
        <w:spacing w:after="163" w:afterLines="50" w:line="360" w:lineRule="auto"/>
        <w:ind w:firstLine="420" w:firstLineChars="200"/>
        <w:rPr>
          <w:rFonts w:ascii="宋体" w:hAnsi="宋体" w:cs="宋体"/>
          <w:color w:val="auto"/>
          <w:highlight w:val="none"/>
        </w:rPr>
      </w:pPr>
      <w:bookmarkStart w:id="2018" w:name="_Ref11920146"/>
      <w:bookmarkEnd w:id="2018"/>
      <w:r>
        <w:rPr>
          <w:rFonts w:hint="eastAsia" w:ascii="宋体" w:hAnsi="宋体" w:cs="宋体"/>
          <w:color w:val="auto"/>
          <w:szCs w:val="21"/>
          <w:highlight w:val="none"/>
          <w:lang w:bidi="ar"/>
        </w:rPr>
        <w:t>12.1.4发包人应根据《发包人要求》、承包人按照第5.5款[操作和维修手册]提交的文件，以及承包人被要求提供的指导进行竣工后试验。如承包人未在发包人通知的时间和地点参加竣工后试验，发包人可自行进行，该试验应被视为是承包人在场的情况下进行的，且承包人应视为认可试验数据。</w:t>
      </w:r>
    </w:p>
    <w:p w14:paraId="037FCEED">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12.1.5竣工后试验的结果应由双方进行整理和评价，并应适当考虑发包人对工程或其任何部分的使用，对工程或区段工程的性能、特性和试验结果产生的影响。</w:t>
      </w:r>
    </w:p>
    <w:p w14:paraId="57D4013A">
      <w:pPr>
        <w:widowControl/>
        <w:wordWrap w:val="0"/>
        <w:topLinePunct/>
        <w:adjustRightInd w:val="0"/>
        <w:snapToGrid w:val="0"/>
        <w:spacing w:after="163" w:afterLines="50" w:line="360" w:lineRule="auto"/>
        <w:outlineLvl w:val="2"/>
        <w:rPr>
          <w:rFonts w:ascii="宋体" w:hAnsi="宋体" w:cs="宋体"/>
          <w:color w:val="auto"/>
          <w:highlight w:val="none"/>
        </w:rPr>
      </w:pPr>
      <w:bookmarkStart w:id="2019" w:name="_Toc20171820"/>
      <w:bookmarkEnd w:id="2019"/>
      <w:bookmarkStart w:id="2020" w:name="_Ref531954781"/>
      <w:bookmarkEnd w:id="2020"/>
      <w:bookmarkStart w:id="2021" w:name="_Ref531954785"/>
      <w:bookmarkStart w:id="2022" w:name="_Toc58860260"/>
      <w:bookmarkStart w:id="2023" w:name="_Toc27851"/>
      <w:bookmarkStart w:id="2024" w:name="_Toc22188"/>
      <w:bookmarkStart w:id="2025" w:name="_Toc51766673"/>
      <w:bookmarkStart w:id="2026" w:name="_Toc84930809"/>
      <w:bookmarkStart w:id="2027" w:name="_Toc28842"/>
      <w:bookmarkStart w:id="2028" w:name="_Toc170932540"/>
      <w:bookmarkStart w:id="2029" w:name="_Toc12374"/>
      <w:r>
        <w:rPr>
          <w:rFonts w:hint="eastAsia" w:ascii="宋体" w:hAnsi="宋体" w:cs="宋体"/>
          <w:color w:val="auto"/>
          <w:szCs w:val="21"/>
          <w:highlight w:val="none"/>
          <w:lang w:bidi="ar"/>
        </w:rPr>
        <w:t>1</w:t>
      </w:r>
      <w:bookmarkEnd w:id="2021"/>
      <w:r>
        <w:rPr>
          <w:rFonts w:hint="eastAsia" w:ascii="宋体" w:hAnsi="宋体" w:cs="宋体"/>
          <w:color w:val="auto"/>
          <w:szCs w:val="21"/>
          <w:highlight w:val="none"/>
          <w:lang w:bidi="ar"/>
        </w:rPr>
        <w:t>2.2  延误的试验</w:t>
      </w:r>
      <w:bookmarkEnd w:id="2022"/>
      <w:bookmarkEnd w:id="2023"/>
      <w:bookmarkEnd w:id="2024"/>
      <w:bookmarkEnd w:id="2025"/>
      <w:bookmarkEnd w:id="2026"/>
      <w:bookmarkEnd w:id="2027"/>
      <w:bookmarkEnd w:id="2028"/>
      <w:bookmarkEnd w:id="2029"/>
      <w:r>
        <w:rPr>
          <w:rFonts w:hint="eastAsia" w:ascii="宋体" w:hAnsi="宋体" w:cs="宋体"/>
          <w:color w:val="auto"/>
          <w:szCs w:val="21"/>
          <w:highlight w:val="none"/>
          <w:lang w:bidi="ar"/>
        </w:rPr>
        <w:t xml:space="preserve"> </w:t>
      </w:r>
    </w:p>
    <w:p w14:paraId="137939C5">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12.2.1如果竣工后试验因发包人原因被延误的，发包人应承担承包人由此增加的费用。</w:t>
      </w:r>
    </w:p>
    <w:p w14:paraId="0F751064">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12.2.2如果因承包人以外的原因，导致竣工后试验未能在缺陷责任期或双方另行同意的其他期限内完成，则相关工程或区段工程应视为已通过该竣工后试验。</w:t>
      </w:r>
    </w:p>
    <w:p w14:paraId="797F9164">
      <w:pPr>
        <w:widowControl/>
        <w:wordWrap w:val="0"/>
        <w:topLinePunct/>
        <w:adjustRightInd w:val="0"/>
        <w:snapToGrid w:val="0"/>
        <w:spacing w:after="163" w:afterLines="50" w:line="360" w:lineRule="auto"/>
        <w:outlineLvl w:val="2"/>
        <w:rPr>
          <w:rFonts w:ascii="宋体" w:hAnsi="宋体" w:cs="宋体"/>
          <w:color w:val="auto"/>
          <w:highlight w:val="none"/>
        </w:rPr>
      </w:pPr>
      <w:bookmarkStart w:id="2030" w:name="_Toc20171821"/>
      <w:bookmarkEnd w:id="2030"/>
      <w:bookmarkStart w:id="2031" w:name="_Toc26798"/>
      <w:bookmarkStart w:id="2032" w:name="_Toc24146"/>
      <w:bookmarkStart w:id="2033" w:name="_Toc51766674"/>
      <w:bookmarkStart w:id="2034" w:name="_Toc84930810"/>
      <w:bookmarkStart w:id="2035" w:name="_Toc21146"/>
      <w:bookmarkStart w:id="2036" w:name="_Toc58860261"/>
      <w:bookmarkStart w:id="2037" w:name="_Toc12804"/>
      <w:bookmarkStart w:id="2038" w:name="_Toc170932541"/>
      <w:r>
        <w:rPr>
          <w:rFonts w:hint="eastAsia" w:ascii="宋体" w:hAnsi="宋体" w:cs="宋体"/>
          <w:color w:val="auto"/>
          <w:szCs w:val="21"/>
          <w:highlight w:val="none"/>
          <w:lang w:bidi="ar"/>
        </w:rPr>
        <w:t>12.3  重新试验</w:t>
      </w:r>
      <w:bookmarkEnd w:id="2031"/>
      <w:bookmarkEnd w:id="2032"/>
      <w:bookmarkEnd w:id="2033"/>
      <w:bookmarkEnd w:id="2034"/>
      <w:bookmarkEnd w:id="2035"/>
      <w:bookmarkEnd w:id="2036"/>
      <w:bookmarkEnd w:id="2037"/>
      <w:bookmarkEnd w:id="2038"/>
    </w:p>
    <w:p w14:paraId="46192710">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12.3.1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14:paraId="4A33C888">
      <w:pPr>
        <w:widowControl/>
        <w:wordWrap w:val="0"/>
        <w:topLinePunct/>
        <w:adjustRightInd w:val="0"/>
        <w:snapToGrid w:val="0"/>
        <w:spacing w:after="163" w:afterLines="50" w:line="360" w:lineRule="auto"/>
        <w:outlineLvl w:val="2"/>
        <w:rPr>
          <w:rFonts w:ascii="宋体" w:hAnsi="宋体" w:cs="宋体"/>
          <w:color w:val="auto"/>
          <w:highlight w:val="none"/>
        </w:rPr>
      </w:pPr>
      <w:bookmarkStart w:id="2039" w:name="_Ref531954819"/>
      <w:bookmarkEnd w:id="2039"/>
      <w:bookmarkStart w:id="2040" w:name="_Ref531954811"/>
      <w:bookmarkEnd w:id="2040"/>
      <w:bookmarkStart w:id="2041" w:name="_Toc20171822"/>
      <w:bookmarkStart w:id="2042" w:name="_Toc51766675"/>
      <w:bookmarkStart w:id="2043" w:name="_Toc8531"/>
      <w:bookmarkStart w:id="2044" w:name="_Toc170932542"/>
      <w:bookmarkStart w:id="2045" w:name="_Toc30320"/>
      <w:bookmarkStart w:id="2046" w:name="_Toc58860262"/>
      <w:bookmarkStart w:id="2047" w:name="_Toc27991"/>
      <w:bookmarkStart w:id="2048" w:name="_Toc26253"/>
      <w:bookmarkStart w:id="2049" w:name="_Toc84930811"/>
      <w:r>
        <w:rPr>
          <w:rFonts w:hint="eastAsia" w:ascii="宋体" w:hAnsi="宋体" w:cs="宋体"/>
          <w:color w:val="auto"/>
          <w:szCs w:val="21"/>
          <w:highlight w:val="none"/>
          <w:lang w:bidi="ar"/>
        </w:rPr>
        <w:t>1</w:t>
      </w:r>
      <w:bookmarkEnd w:id="2041"/>
      <w:r>
        <w:rPr>
          <w:rFonts w:hint="eastAsia" w:ascii="宋体" w:hAnsi="宋体" w:cs="宋体"/>
          <w:color w:val="auto"/>
          <w:szCs w:val="21"/>
          <w:highlight w:val="none"/>
          <w:lang w:bidi="ar"/>
        </w:rPr>
        <w:t>2.4  未能通过竣工后试验</w:t>
      </w:r>
      <w:bookmarkEnd w:id="2042"/>
      <w:bookmarkEnd w:id="2043"/>
      <w:bookmarkEnd w:id="2044"/>
      <w:bookmarkEnd w:id="2045"/>
      <w:bookmarkEnd w:id="2046"/>
      <w:bookmarkEnd w:id="2047"/>
      <w:bookmarkEnd w:id="2048"/>
      <w:bookmarkEnd w:id="2049"/>
    </w:p>
    <w:p w14:paraId="4CA5A646">
      <w:pPr>
        <w:widowControl/>
        <w:adjustRightInd w:val="0"/>
        <w:snapToGrid w:val="0"/>
        <w:spacing w:after="163" w:afterLines="50" w:line="360" w:lineRule="auto"/>
        <w:ind w:firstLine="420" w:firstLineChars="200"/>
        <w:rPr>
          <w:rFonts w:ascii="宋体" w:hAnsi="宋体" w:cs="宋体"/>
          <w:color w:val="auto"/>
          <w:highlight w:val="none"/>
        </w:rPr>
      </w:pPr>
      <w:bookmarkStart w:id="2050" w:name="_Ref531954829"/>
      <w:bookmarkEnd w:id="2050"/>
      <w:r>
        <w:rPr>
          <w:rFonts w:hint="eastAsia" w:ascii="宋体" w:hAnsi="宋体" w:cs="宋体"/>
          <w:color w:val="auto"/>
          <w:szCs w:val="21"/>
          <w:highlight w:val="none"/>
          <w:lang w:bidi="ar"/>
        </w:rPr>
        <w:t>12.4.1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14:paraId="37751A93">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12.4.2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6E23ADC1">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12.4.3发包人无故拖延给予承包人进行调查、调整或修补所需的进入工程或区段工程的许可，并造成承包人费用增加的，应承担由此增加的费用。</w:t>
      </w:r>
    </w:p>
    <w:p w14:paraId="1A5E3E15">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051" w:name="_Ref4415801"/>
      <w:bookmarkEnd w:id="2051"/>
      <w:bookmarkStart w:id="2052" w:name="_Toc20171823"/>
      <w:bookmarkStart w:id="2053" w:name="_Toc4604"/>
      <w:bookmarkStart w:id="2054" w:name="_Toc170932543"/>
      <w:r>
        <w:rPr>
          <w:rFonts w:hint="eastAsia" w:ascii="宋体" w:hAnsi="宋体" w:cs="宋体"/>
          <w:color w:val="auto"/>
          <w:kern w:val="0"/>
          <w:szCs w:val="21"/>
          <w:highlight w:val="none"/>
          <w:lang w:bidi="ar"/>
        </w:rPr>
        <w:t>第1</w:t>
      </w:r>
      <w:bookmarkEnd w:id="2052"/>
      <w:r>
        <w:rPr>
          <w:rFonts w:hint="eastAsia" w:ascii="宋体" w:hAnsi="宋体" w:cs="宋体"/>
          <w:color w:val="auto"/>
          <w:kern w:val="0"/>
          <w:szCs w:val="21"/>
          <w:highlight w:val="none"/>
          <w:lang w:bidi="ar"/>
        </w:rPr>
        <w:t>3条  变更与调整</w:t>
      </w:r>
      <w:bookmarkEnd w:id="2053"/>
      <w:bookmarkEnd w:id="2054"/>
    </w:p>
    <w:p w14:paraId="51CFA86B">
      <w:pPr>
        <w:widowControl/>
        <w:wordWrap w:val="0"/>
        <w:topLinePunct/>
        <w:adjustRightInd w:val="0"/>
        <w:snapToGrid w:val="0"/>
        <w:spacing w:after="163" w:afterLines="50" w:line="360" w:lineRule="auto"/>
        <w:outlineLvl w:val="2"/>
        <w:rPr>
          <w:rFonts w:ascii="宋体" w:hAnsi="宋体" w:cs="宋体"/>
          <w:color w:val="auto"/>
          <w:highlight w:val="none"/>
        </w:rPr>
      </w:pPr>
      <w:bookmarkStart w:id="2055" w:name="_Ref532668569"/>
      <w:bookmarkEnd w:id="2055"/>
      <w:bookmarkStart w:id="2056" w:name="_Ref532670395"/>
      <w:bookmarkEnd w:id="2056"/>
      <w:bookmarkStart w:id="2057" w:name="_Ref532668573"/>
      <w:bookmarkEnd w:id="2057"/>
      <w:bookmarkStart w:id="2058" w:name="_Ref532677087"/>
      <w:bookmarkEnd w:id="2058"/>
      <w:bookmarkStart w:id="2059" w:name="_Ref532670393"/>
      <w:bookmarkEnd w:id="2059"/>
      <w:bookmarkStart w:id="2060" w:name="_Toc20171824"/>
      <w:bookmarkEnd w:id="2060"/>
      <w:bookmarkStart w:id="2061" w:name="_Ref532677084"/>
      <w:bookmarkStart w:id="2062" w:name="_Toc25570"/>
      <w:bookmarkStart w:id="2063" w:name="_Toc66"/>
      <w:bookmarkStart w:id="2064" w:name="_Toc58860264"/>
      <w:bookmarkStart w:id="2065" w:name="_Toc51766677"/>
      <w:bookmarkStart w:id="2066" w:name="_Toc84930813"/>
      <w:bookmarkStart w:id="2067" w:name="_Toc14900"/>
      <w:bookmarkStart w:id="2068" w:name="_Toc30737"/>
      <w:bookmarkStart w:id="2069" w:name="_Toc170932544"/>
      <w:r>
        <w:rPr>
          <w:rFonts w:hint="eastAsia" w:ascii="宋体" w:hAnsi="宋体" w:cs="宋体"/>
          <w:color w:val="auto"/>
          <w:szCs w:val="21"/>
          <w:highlight w:val="none"/>
          <w:lang w:bidi="ar"/>
        </w:rPr>
        <w:t>1</w:t>
      </w:r>
      <w:bookmarkEnd w:id="2061"/>
      <w:r>
        <w:rPr>
          <w:rFonts w:hint="eastAsia" w:ascii="宋体" w:hAnsi="宋体" w:cs="宋体"/>
          <w:color w:val="auto"/>
          <w:szCs w:val="21"/>
          <w:highlight w:val="none"/>
          <w:lang w:bidi="ar"/>
        </w:rPr>
        <w:t>3.1  发包人变更权</w:t>
      </w:r>
      <w:bookmarkEnd w:id="2062"/>
      <w:bookmarkEnd w:id="2063"/>
      <w:bookmarkEnd w:id="2064"/>
      <w:bookmarkEnd w:id="2065"/>
      <w:bookmarkEnd w:id="2066"/>
      <w:bookmarkEnd w:id="2067"/>
      <w:bookmarkEnd w:id="2068"/>
      <w:bookmarkEnd w:id="2069"/>
      <w:r>
        <w:rPr>
          <w:rFonts w:hint="eastAsia" w:ascii="宋体" w:hAnsi="宋体" w:cs="宋体"/>
          <w:color w:val="auto"/>
          <w:szCs w:val="21"/>
          <w:highlight w:val="none"/>
          <w:lang w:bidi="ar"/>
        </w:rPr>
        <w:t xml:space="preserve"> </w:t>
      </w:r>
    </w:p>
    <w:p w14:paraId="2622DC22">
      <w:pPr>
        <w:widowControl/>
        <w:adjustRightInd w:val="0"/>
        <w:snapToGrid w:val="0"/>
        <w:spacing w:after="163" w:afterLines="50" w:line="360" w:lineRule="auto"/>
        <w:ind w:firstLine="420" w:firstLineChars="200"/>
        <w:rPr>
          <w:rFonts w:ascii="宋体" w:hAnsi="宋体" w:cs="宋体"/>
          <w:color w:val="auto"/>
          <w:highlight w:val="none"/>
        </w:rPr>
      </w:pPr>
      <w:bookmarkStart w:id="2070" w:name="_Ref4534979"/>
      <w:bookmarkEnd w:id="2070"/>
      <w:r>
        <w:rPr>
          <w:rFonts w:hint="eastAsia" w:ascii="宋体" w:hAnsi="宋体" w:cs="宋体"/>
          <w:color w:val="auto"/>
          <w:szCs w:val="21"/>
          <w:highlight w:val="none"/>
          <w:lang w:bidi="ar"/>
        </w:rPr>
        <w:t>13.1.1变更指示应经发包人同意，并由工程师发出经发包人签认的变更指示。除第11.3.</w:t>
      </w:r>
      <w:r>
        <w:rPr>
          <w:rFonts w:ascii="宋体" w:hAnsi="宋体" w:cs="宋体"/>
          <w:color w:val="auto"/>
          <w:szCs w:val="21"/>
          <w:highlight w:val="none"/>
          <w:lang w:bidi="ar"/>
        </w:rPr>
        <w:t>6</w:t>
      </w:r>
      <w:r>
        <w:rPr>
          <w:rFonts w:hint="eastAsia" w:ascii="宋体" w:hAnsi="宋体" w:cs="宋体"/>
          <w:color w:val="auto"/>
          <w:szCs w:val="21"/>
          <w:highlight w:val="none"/>
          <w:lang w:bidi="ar"/>
        </w:rPr>
        <w:t>项[未能修复]约定的情况外，变更不应包括准备将任何工作删减并交由他人或发包人自行实施的情况。承包人收到变更指示后，方可实施变更。未经许可，承包人不得擅自对工程的任何部分进行变更。发包人与承包人对某项指示或批准是否构成变更产生争议的，按第20条[争议解决]处理。</w:t>
      </w:r>
    </w:p>
    <w:p w14:paraId="6B1BE3AA">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13.1.2承包人应按照变更指示执行，除非承包人及时向工程师发出通知，说明该项变更指示将降低工程的安全性、稳定性或适用性；涉及的工作内容和范围不可预见；所涉设备难以采购；导致承包人无法执行第</w:t>
      </w:r>
      <w:r>
        <w:rPr>
          <w:rFonts w:ascii="宋体" w:hAnsi="宋体" w:cs="宋体"/>
          <w:color w:val="auto"/>
          <w:szCs w:val="21"/>
          <w:highlight w:val="none"/>
          <w:lang w:bidi="ar"/>
        </w:rPr>
        <w:t>7.5</w:t>
      </w:r>
      <w:r>
        <w:rPr>
          <w:rFonts w:hint="eastAsia" w:ascii="宋体" w:hAnsi="宋体" w:cs="宋体"/>
          <w:color w:val="auto"/>
          <w:szCs w:val="21"/>
          <w:highlight w:val="none"/>
          <w:lang w:bidi="ar"/>
        </w:rPr>
        <w:t>款[现场劳动用工]、第7</w:t>
      </w:r>
      <w:r>
        <w:rPr>
          <w:rFonts w:ascii="宋体" w:hAnsi="宋体" w:cs="宋体"/>
          <w:color w:val="auto"/>
          <w:szCs w:val="21"/>
          <w:highlight w:val="none"/>
          <w:lang w:bidi="ar"/>
        </w:rPr>
        <w:t>.6</w:t>
      </w:r>
      <w:r>
        <w:rPr>
          <w:rFonts w:hint="eastAsia" w:ascii="宋体" w:hAnsi="宋体" w:cs="宋体"/>
          <w:color w:val="auto"/>
          <w:szCs w:val="21"/>
          <w:highlight w:val="none"/>
          <w:lang w:bidi="ar"/>
        </w:rPr>
        <w:t>款[安全文明施工</w:t>
      </w:r>
      <w:r>
        <w:rPr>
          <w:rFonts w:ascii="宋体" w:hAnsi="宋体" w:cs="宋体"/>
          <w:color w:val="auto"/>
          <w:szCs w:val="21"/>
          <w:highlight w:val="none"/>
          <w:lang w:bidi="ar"/>
        </w:rPr>
        <w:t>]</w:t>
      </w:r>
      <w:r>
        <w:rPr>
          <w:rFonts w:hint="eastAsia" w:ascii="宋体" w:hAnsi="宋体" w:cs="宋体"/>
          <w:color w:val="auto"/>
          <w:szCs w:val="21"/>
          <w:highlight w:val="none"/>
          <w:lang w:bidi="ar"/>
        </w:rPr>
        <w:t>、第</w:t>
      </w:r>
      <w:r>
        <w:rPr>
          <w:rFonts w:ascii="宋体" w:hAnsi="宋体" w:cs="宋体"/>
          <w:color w:val="auto"/>
          <w:szCs w:val="21"/>
          <w:highlight w:val="none"/>
          <w:lang w:bidi="ar"/>
        </w:rPr>
        <w:t>7.7</w:t>
      </w:r>
      <w:r>
        <w:rPr>
          <w:rFonts w:hint="eastAsia" w:ascii="宋体" w:hAnsi="宋体" w:cs="宋体"/>
          <w:color w:val="auto"/>
          <w:szCs w:val="21"/>
          <w:highlight w:val="none"/>
          <w:lang w:bidi="ar"/>
        </w:rPr>
        <w:t>款[</w:t>
      </w:r>
      <w:r>
        <w:rPr>
          <w:rFonts w:ascii="宋体" w:hAnsi="宋体" w:cs="宋体"/>
          <w:color w:val="auto"/>
          <w:szCs w:val="21"/>
          <w:highlight w:val="none"/>
          <w:lang w:bidi="ar"/>
        </w:rPr>
        <w:t>职业健康]</w:t>
      </w:r>
      <w:r>
        <w:rPr>
          <w:rFonts w:hint="eastAsia" w:ascii="宋体" w:hAnsi="宋体" w:cs="宋体"/>
          <w:color w:val="auto"/>
          <w:szCs w:val="21"/>
          <w:highlight w:val="none"/>
          <w:lang w:bidi="ar"/>
        </w:rPr>
        <w:t>或第</w:t>
      </w:r>
      <w:r>
        <w:rPr>
          <w:rFonts w:ascii="宋体" w:hAnsi="宋体" w:cs="宋体"/>
          <w:color w:val="auto"/>
          <w:szCs w:val="21"/>
          <w:highlight w:val="none"/>
          <w:lang w:bidi="ar"/>
        </w:rPr>
        <w:t>7.8</w:t>
      </w:r>
      <w:r>
        <w:rPr>
          <w:rFonts w:hint="eastAsia" w:ascii="宋体" w:hAnsi="宋体" w:cs="宋体"/>
          <w:color w:val="auto"/>
          <w:szCs w:val="21"/>
          <w:highlight w:val="none"/>
          <w:lang w:bidi="ar"/>
        </w:rPr>
        <w:t>款[环境保护</w:t>
      </w:r>
      <w:r>
        <w:rPr>
          <w:rFonts w:ascii="宋体" w:hAnsi="宋体" w:cs="宋体"/>
          <w:color w:val="auto"/>
          <w:szCs w:val="21"/>
          <w:highlight w:val="none"/>
          <w:lang w:bidi="ar"/>
        </w:rPr>
        <w:t>]</w:t>
      </w:r>
      <w:r>
        <w:rPr>
          <w:rFonts w:hint="eastAsia" w:ascii="宋体" w:hAnsi="宋体" w:cs="宋体"/>
          <w:color w:val="auto"/>
          <w:szCs w:val="21"/>
          <w:highlight w:val="none"/>
          <w:lang w:bidi="ar"/>
        </w:rPr>
        <w:t>内容；将造成工期延误；与第4.1款[承包人的一般义务]相冲突等无法执行的理由。工程师接到承包人的通知后，应作出经发包人签认的取消、确认或改变原指示的书面回复。</w:t>
      </w:r>
    </w:p>
    <w:p w14:paraId="6F56AD30">
      <w:pPr>
        <w:widowControl/>
        <w:adjustRightInd w:val="0"/>
        <w:snapToGrid w:val="0"/>
        <w:spacing w:after="163" w:afterLines="50" w:line="360" w:lineRule="auto"/>
        <w:rPr>
          <w:rFonts w:ascii="宋体" w:hAnsi="宋体" w:cs="宋体"/>
          <w:color w:val="auto"/>
          <w:highlight w:val="none"/>
        </w:rPr>
      </w:pPr>
      <w:bookmarkStart w:id="2071" w:name="_Toc20171825"/>
      <w:bookmarkEnd w:id="2071"/>
      <w:bookmarkStart w:id="2072" w:name="_Ref4623207"/>
      <w:bookmarkEnd w:id="2072"/>
      <w:bookmarkStart w:id="2073" w:name="_Ref531955590"/>
      <w:bookmarkEnd w:id="2073"/>
      <w:bookmarkStart w:id="2074" w:name="_Ref531955587"/>
      <w:r>
        <w:rPr>
          <w:rFonts w:hint="eastAsia" w:ascii="宋体" w:hAnsi="宋体" w:cs="宋体"/>
          <w:color w:val="auto"/>
          <w:szCs w:val="21"/>
          <w:highlight w:val="none"/>
          <w:lang w:bidi="ar"/>
        </w:rPr>
        <w:t>1</w:t>
      </w:r>
      <w:bookmarkEnd w:id="2074"/>
      <w:r>
        <w:rPr>
          <w:rFonts w:hint="eastAsia" w:ascii="宋体" w:hAnsi="宋体" w:cs="宋体"/>
          <w:color w:val="auto"/>
          <w:szCs w:val="21"/>
          <w:highlight w:val="none"/>
          <w:lang w:bidi="ar"/>
        </w:rPr>
        <w:t>3.2  承包人的合理化建议</w:t>
      </w:r>
    </w:p>
    <w:p w14:paraId="3221E1BF">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13.2.1承包人提出合理化建议的，应向工程师提交合理化建议说明，说明建议的内容、理由以及实施该建议对合同价格和工期的影响。</w:t>
      </w:r>
    </w:p>
    <w:p w14:paraId="582D8984">
      <w:pPr>
        <w:widowControl/>
        <w:adjustRightInd w:val="0"/>
        <w:snapToGrid w:val="0"/>
        <w:spacing w:after="163" w:afterLines="50" w:line="360" w:lineRule="auto"/>
        <w:ind w:firstLine="420" w:firstLineChars="200"/>
        <w:rPr>
          <w:rFonts w:ascii="宋体" w:hAnsi="宋体" w:cs="宋体"/>
          <w:color w:val="auto"/>
          <w:highlight w:val="none"/>
        </w:rPr>
      </w:pPr>
      <w:bookmarkStart w:id="2075" w:name="_Ref4681686"/>
      <w:bookmarkEnd w:id="2075"/>
      <w:r>
        <w:rPr>
          <w:rFonts w:hint="eastAsia" w:ascii="宋体" w:hAnsi="宋体" w:cs="宋体"/>
          <w:color w:val="auto"/>
          <w:szCs w:val="21"/>
          <w:highlight w:val="none"/>
          <w:lang w:bidi="ar"/>
        </w:rPr>
        <w:t>13.2.2除专用合同条件另有约定外，</w:t>
      </w:r>
      <w:bookmarkStart w:id="2076" w:name="_Hlk4682273"/>
      <w:r>
        <w:rPr>
          <w:rFonts w:hint="eastAsia" w:ascii="宋体" w:hAnsi="宋体" w:cs="宋体"/>
          <w:color w:val="auto"/>
          <w:szCs w:val="21"/>
          <w:highlight w:val="none"/>
          <w:lang w:bidi="ar"/>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bookmarkEnd w:id="2076"/>
      <w:r>
        <w:rPr>
          <w:rFonts w:hint="eastAsia" w:ascii="宋体" w:hAnsi="宋体" w:cs="宋体"/>
          <w:color w:val="auto"/>
          <w:szCs w:val="21"/>
          <w:highlight w:val="none"/>
          <w:lang w:bidi="ar"/>
        </w:rPr>
        <w:t>13.3.3项[变更估价]约定执行。发包人不同意变更的，工程师应书面通知承包人。</w:t>
      </w:r>
    </w:p>
    <w:p w14:paraId="2182757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13.2.3合理化建议降低了合同价格、缩短了工期或者提高了工程经济效益的，双方可以按照专用合同条件的约定进行利益分享。</w:t>
      </w:r>
    </w:p>
    <w:p w14:paraId="21E5C275">
      <w:pPr>
        <w:widowControl/>
        <w:wordWrap w:val="0"/>
        <w:topLinePunct/>
        <w:adjustRightInd w:val="0"/>
        <w:snapToGrid w:val="0"/>
        <w:spacing w:after="163" w:afterLines="50" w:line="360" w:lineRule="auto"/>
        <w:outlineLvl w:val="2"/>
        <w:rPr>
          <w:rFonts w:ascii="宋体" w:hAnsi="宋体" w:cs="宋体"/>
          <w:color w:val="auto"/>
          <w:highlight w:val="none"/>
        </w:rPr>
      </w:pPr>
      <w:bookmarkStart w:id="2077" w:name="_Ref532673538"/>
      <w:bookmarkEnd w:id="2077"/>
      <w:bookmarkStart w:id="2078" w:name="_Ref532669302"/>
      <w:bookmarkEnd w:id="2078"/>
      <w:bookmarkStart w:id="2079" w:name="_Ref532669305"/>
      <w:bookmarkEnd w:id="2079"/>
      <w:bookmarkStart w:id="2080" w:name="_Toc20171826"/>
      <w:bookmarkEnd w:id="2080"/>
      <w:bookmarkStart w:id="2081" w:name="_Ref532671480"/>
      <w:bookmarkEnd w:id="2081"/>
      <w:bookmarkStart w:id="2082" w:name="_Ref532673541"/>
      <w:bookmarkEnd w:id="2082"/>
      <w:bookmarkStart w:id="2083" w:name="_Ref532671484"/>
      <w:bookmarkStart w:id="2084" w:name="_Toc58860265"/>
      <w:bookmarkStart w:id="2085" w:name="_Toc23815"/>
      <w:bookmarkStart w:id="2086" w:name="_Toc84930814"/>
      <w:bookmarkStart w:id="2087" w:name="_Toc170932545"/>
      <w:bookmarkStart w:id="2088" w:name="_Toc4113"/>
      <w:bookmarkStart w:id="2089" w:name="_Toc28965"/>
      <w:bookmarkStart w:id="2090" w:name="_Toc51766678"/>
      <w:r>
        <w:rPr>
          <w:rFonts w:hint="eastAsia" w:ascii="宋体" w:hAnsi="宋体" w:cs="宋体"/>
          <w:color w:val="auto"/>
          <w:szCs w:val="21"/>
          <w:highlight w:val="none"/>
          <w:lang w:bidi="ar"/>
        </w:rPr>
        <w:t>1</w:t>
      </w:r>
      <w:bookmarkEnd w:id="2083"/>
      <w:r>
        <w:rPr>
          <w:rFonts w:hint="eastAsia" w:ascii="宋体" w:hAnsi="宋体" w:cs="宋体"/>
          <w:color w:val="auto"/>
          <w:szCs w:val="21"/>
          <w:highlight w:val="none"/>
          <w:lang w:bidi="ar"/>
        </w:rPr>
        <w:t>3.3  变更程序</w:t>
      </w:r>
      <w:bookmarkEnd w:id="2084"/>
      <w:bookmarkEnd w:id="2085"/>
      <w:bookmarkEnd w:id="2086"/>
      <w:bookmarkEnd w:id="2087"/>
      <w:bookmarkEnd w:id="2088"/>
      <w:bookmarkEnd w:id="2089"/>
      <w:bookmarkEnd w:id="2090"/>
    </w:p>
    <w:p w14:paraId="26D11CE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091" w:name="_Ref4534600"/>
      <w:bookmarkEnd w:id="2091"/>
      <w:r>
        <w:rPr>
          <w:rFonts w:hint="eastAsia" w:ascii="宋体" w:hAnsi="宋体" w:cs="宋体"/>
          <w:color w:val="auto"/>
          <w:szCs w:val="21"/>
          <w:highlight w:val="none"/>
          <w:lang w:bidi="ar"/>
        </w:rPr>
        <w:t>13.3.1发包人提出变更</w:t>
      </w:r>
    </w:p>
    <w:p w14:paraId="17208BB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发包人提出变更的，应通过工程师向承包人发出书面形式的变更指示，变更指示应说明计划变更的工程范围和变更的内容。</w:t>
      </w:r>
    </w:p>
    <w:p w14:paraId="3A7E78EC">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092" w:name="_Ref4534617"/>
      <w:bookmarkEnd w:id="2092"/>
      <w:r>
        <w:rPr>
          <w:rFonts w:hint="eastAsia" w:ascii="宋体" w:hAnsi="宋体" w:cs="宋体"/>
          <w:color w:val="auto"/>
          <w:szCs w:val="21"/>
          <w:highlight w:val="none"/>
          <w:lang w:bidi="ar"/>
        </w:rPr>
        <w:t>13.3.2变更执行</w:t>
      </w:r>
    </w:p>
    <w:p w14:paraId="4D00F55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22FF1B09">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093" w:name="_Ref3835481"/>
      <w:bookmarkEnd w:id="2093"/>
      <w:r>
        <w:rPr>
          <w:rFonts w:hint="eastAsia" w:ascii="宋体" w:hAnsi="宋体" w:cs="宋体"/>
          <w:color w:val="auto"/>
          <w:szCs w:val="21"/>
          <w:highlight w:val="none"/>
          <w:lang w:bidi="ar"/>
        </w:rPr>
        <w:t>13.3.3变更估价</w:t>
      </w:r>
    </w:p>
    <w:p w14:paraId="52DB274F">
      <w:pPr>
        <w:widowControl/>
        <w:wordWrap w:val="0"/>
        <w:topLinePunct/>
        <w:autoSpaceDE w:val="0"/>
        <w:autoSpaceDN w:val="0"/>
        <w:adjustRightInd w:val="0"/>
        <w:snapToGrid w:val="0"/>
        <w:spacing w:after="163" w:afterLines="50" w:line="360" w:lineRule="auto"/>
        <w:ind w:left="480"/>
        <w:rPr>
          <w:rFonts w:ascii="宋体" w:hAnsi="宋体" w:cs="宋体"/>
          <w:color w:val="auto"/>
          <w:highlight w:val="none"/>
        </w:rPr>
      </w:pPr>
      <w:r>
        <w:rPr>
          <w:rFonts w:hint="eastAsia" w:ascii="宋体" w:hAnsi="宋体" w:cs="宋体"/>
          <w:color w:val="auto"/>
          <w:szCs w:val="21"/>
          <w:highlight w:val="none"/>
          <w:lang w:bidi="ar"/>
        </w:rPr>
        <w:t>13.3.3.1变更估价原则</w:t>
      </w:r>
    </w:p>
    <w:p w14:paraId="331DD82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除专用合同条件另有约定外，变更估价按照本款约定处理：</w:t>
      </w:r>
    </w:p>
    <w:p w14:paraId="60BF9E4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（1）合同中未包含价格清单，合同价格应按照所执行的变更工程的成本加利润调整；</w:t>
      </w:r>
    </w:p>
    <w:p w14:paraId="2718956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（2）合同中包含价格清单，合同价格按照如下规则调整：</w:t>
      </w:r>
    </w:p>
    <w:p w14:paraId="7A94D3E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1）价格清单中有适用于变更工程项目的，应采用该项目的费率和价格；</w:t>
      </w:r>
    </w:p>
    <w:p w14:paraId="16001D2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2）价格清单中没有适用但有类似于变更工程项目的，可在合理范围内参照类似项目的费率或价格；</w:t>
      </w:r>
    </w:p>
    <w:p w14:paraId="41AC22C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3）价格清单中没有适用也没有类似于变更工程项目的，该工程项目应按成本加利润原则调整适用新的费率或价格。</w:t>
      </w:r>
    </w:p>
    <w:p w14:paraId="55DEF2E4">
      <w:pPr>
        <w:widowControl/>
        <w:wordWrap w:val="0"/>
        <w:topLinePunct/>
        <w:autoSpaceDE w:val="0"/>
        <w:autoSpaceDN w:val="0"/>
        <w:adjustRightInd w:val="0"/>
        <w:snapToGrid w:val="0"/>
        <w:spacing w:after="163" w:afterLines="50" w:line="360" w:lineRule="auto"/>
        <w:ind w:left="480"/>
        <w:rPr>
          <w:rFonts w:ascii="宋体" w:hAnsi="宋体" w:cs="宋体"/>
          <w:color w:val="auto"/>
          <w:highlight w:val="none"/>
        </w:rPr>
      </w:pPr>
      <w:r>
        <w:rPr>
          <w:rFonts w:hint="eastAsia" w:ascii="宋体" w:hAnsi="宋体" w:cs="宋体"/>
          <w:color w:val="auto"/>
          <w:szCs w:val="21"/>
          <w:highlight w:val="none"/>
          <w:lang w:bidi="ar"/>
        </w:rPr>
        <w:t>13.3.3.2变更估价程序</w:t>
      </w:r>
    </w:p>
    <w:p w14:paraId="2D721E1A">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094" w:name="_Ref531955605"/>
      <w:bookmarkEnd w:id="2094"/>
      <w:bookmarkStart w:id="2095" w:name="_Toc296346651"/>
      <w:bookmarkEnd w:id="2095"/>
      <w:bookmarkStart w:id="2096" w:name="_Toc296503150"/>
      <w:bookmarkEnd w:id="2096"/>
      <w:bookmarkStart w:id="2097" w:name="_Ref531955607"/>
      <w:bookmarkEnd w:id="2097"/>
      <w:bookmarkStart w:id="2098" w:name="_Toc337558844"/>
      <w:r>
        <w:rPr>
          <w:rFonts w:hint="eastAsia" w:ascii="宋体" w:hAnsi="宋体" w:cs="宋体"/>
          <w:color w:val="auto"/>
          <w:kern w:val="0"/>
          <w:szCs w:val="21"/>
          <w:highlight w:val="none"/>
          <w:lang w:bidi="ar"/>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bookmarkEnd w:id="2098"/>
    </w:p>
    <w:p w14:paraId="4025B44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因变更引起的价格调整应计入最近一期的进度款中支付。</w:t>
      </w:r>
    </w:p>
    <w:p w14:paraId="187A6540">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13.3.4变更引起的工期调整</w:t>
      </w:r>
    </w:p>
    <w:p w14:paraId="4740E92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因变更引起工期变化的，合同当事人均可要求调整合同工期，由合同当事人按照第3.6款[商定或确定]并参考工程所在地的工期定额标准确定增减工期天数。</w:t>
      </w:r>
    </w:p>
    <w:p w14:paraId="6697DF61">
      <w:pPr>
        <w:widowControl/>
        <w:wordWrap w:val="0"/>
        <w:topLinePunct/>
        <w:adjustRightInd w:val="0"/>
        <w:snapToGrid w:val="0"/>
        <w:spacing w:after="163" w:afterLines="50" w:line="360" w:lineRule="auto"/>
        <w:outlineLvl w:val="2"/>
        <w:rPr>
          <w:rFonts w:ascii="宋体" w:hAnsi="宋体" w:cs="宋体"/>
          <w:color w:val="auto"/>
          <w:highlight w:val="none"/>
        </w:rPr>
      </w:pPr>
      <w:bookmarkStart w:id="2099" w:name="_Ref4431237"/>
      <w:bookmarkEnd w:id="2099"/>
      <w:bookmarkStart w:id="2100" w:name="_Toc20171827"/>
      <w:bookmarkStart w:id="2101" w:name="_Toc14495"/>
      <w:bookmarkStart w:id="2102" w:name="_Toc31527"/>
      <w:bookmarkStart w:id="2103" w:name="_Toc58860266"/>
      <w:bookmarkStart w:id="2104" w:name="_Toc84930815"/>
      <w:bookmarkStart w:id="2105" w:name="_Toc8910"/>
      <w:bookmarkStart w:id="2106" w:name="_Toc51766679"/>
      <w:bookmarkStart w:id="2107" w:name="_Toc170932546"/>
      <w:bookmarkStart w:id="2108" w:name="_Toc8946"/>
      <w:r>
        <w:rPr>
          <w:rFonts w:hint="eastAsia" w:ascii="宋体" w:hAnsi="宋体" w:cs="宋体"/>
          <w:color w:val="auto"/>
          <w:szCs w:val="21"/>
          <w:highlight w:val="none"/>
          <w:lang w:bidi="ar"/>
        </w:rPr>
        <w:t>1</w:t>
      </w:r>
      <w:bookmarkEnd w:id="2100"/>
      <w:r>
        <w:rPr>
          <w:rFonts w:hint="eastAsia" w:ascii="宋体" w:hAnsi="宋体" w:cs="宋体"/>
          <w:color w:val="auto"/>
          <w:szCs w:val="21"/>
          <w:highlight w:val="none"/>
          <w:lang w:bidi="ar"/>
        </w:rPr>
        <w:t>3.4  暂估价</w:t>
      </w:r>
      <w:bookmarkEnd w:id="2101"/>
      <w:bookmarkEnd w:id="2102"/>
      <w:bookmarkEnd w:id="2103"/>
      <w:bookmarkEnd w:id="2104"/>
      <w:bookmarkEnd w:id="2105"/>
      <w:bookmarkEnd w:id="2106"/>
      <w:bookmarkEnd w:id="2107"/>
      <w:bookmarkEnd w:id="2108"/>
    </w:p>
    <w:p w14:paraId="665EC4D9">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109" w:name="_Ref4616729"/>
      <w:bookmarkEnd w:id="2109"/>
      <w:r>
        <w:rPr>
          <w:rFonts w:hint="eastAsia" w:ascii="宋体" w:hAnsi="宋体" w:cs="宋体"/>
          <w:color w:val="auto"/>
          <w:szCs w:val="21"/>
          <w:highlight w:val="none"/>
          <w:lang w:bidi="ar"/>
        </w:rPr>
        <w:t>13.4.1依法必须招标的暂估价项目</w:t>
      </w:r>
    </w:p>
    <w:p w14:paraId="5A1E6FB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对于依法必须招标的暂估价项目，专用合同条件约定由承包人作为比选人的，比选文件、评标方案、评标结果应报送发包人批准。与组织招标工作有关的费用应当被认为已经包括在承包人的签约合同价中。</w:t>
      </w:r>
    </w:p>
    <w:p w14:paraId="2E3C2B4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专用合同条件约定由发包人和承包人共同作为比选人的，与组织招标工作有关的费用在专用合同条件中约定。</w:t>
      </w:r>
    </w:p>
    <w:p w14:paraId="63E6051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具体的招标程序以及发包人和承包人权利义务关系可在专用合同条件中约定。暂估价项目的中标金额与价格清单中所列暂估价的金额差以及相应的税金等其他费用应列入合同价格。</w:t>
      </w:r>
    </w:p>
    <w:p w14:paraId="04211474">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110" w:name="_Ref4682312"/>
      <w:bookmarkEnd w:id="2110"/>
      <w:r>
        <w:rPr>
          <w:rFonts w:hint="eastAsia" w:ascii="宋体" w:hAnsi="宋体" w:cs="宋体"/>
          <w:color w:val="auto"/>
          <w:szCs w:val="21"/>
          <w:highlight w:val="none"/>
          <w:lang w:bidi="ar"/>
        </w:rPr>
        <w:t>13.4.2不属于依法必须招标的暂估价项目</w:t>
      </w:r>
    </w:p>
    <w:p w14:paraId="2A93A60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4AF07C0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B1E8AEB">
      <w:pPr>
        <w:widowControl/>
        <w:wordWrap w:val="0"/>
        <w:topLinePunct/>
        <w:adjustRightInd w:val="0"/>
        <w:snapToGrid w:val="0"/>
        <w:spacing w:after="163" w:afterLines="50" w:line="360" w:lineRule="auto"/>
        <w:outlineLvl w:val="2"/>
        <w:rPr>
          <w:rFonts w:ascii="宋体" w:hAnsi="宋体" w:cs="宋体"/>
          <w:color w:val="auto"/>
          <w:highlight w:val="none"/>
        </w:rPr>
      </w:pPr>
      <w:bookmarkStart w:id="2111" w:name="_Ref4431250"/>
      <w:bookmarkEnd w:id="2111"/>
      <w:bookmarkStart w:id="2112" w:name="_Toc20171828"/>
      <w:bookmarkStart w:id="2113" w:name="_Toc12815"/>
      <w:bookmarkStart w:id="2114" w:name="_Toc21640"/>
      <w:bookmarkStart w:id="2115" w:name="_Toc170932547"/>
      <w:bookmarkStart w:id="2116" w:name="_Toc58860267"/>
      <w:bookmarkStart w:id="2117" w:name="_Toc28663"/>
      <w:bookmarkStart w:id="2118" w:name="_Toc6490"/>
      <w:bookmarkStart w:id="2119" w:name="_Toc51766680"/>
      <w:bookmarkStart w:id="2120" w:name="_Toc84930816"/>
      <w:r>
        <w:rPr>
          <w:rFonts w:hint="eastAsia" w:ascii="宋体" w:hAnsi="宋体" w:cs="宋体"/>
          <w:color w:val="auto"/>
          <w:szCs w:val="21"/>
          <w:highlight w:val="none"/>
          <w:lang w:bidi="ar"/>
        </w:rPr>
        <w:t>1</w:t>
      </w:r>
      <w:bookmarkEnd w:id="2112"/>
      <w:r>
        <w:rPr>
          <w:rFonts w:hint="eastAsia" w:ascii="宋体" w:hAnsi="宋体" w:cs="宋体"/>
          <w:color w:val="auto"/>
          <w:szCs w:val="21"/>
          <w:highlight w:val="none"/>
          <w:lang w:bidi="ar"/>
        </w:rPr>
        <w:t>3.5  暂列金额</w:t>
      </w:r>
      <w:bookmarkEnd w:id="2113"/>
      <w:bookmarkEnd w:id="2114"/>
      <w:bookmarkEnd w:id="2115"/>
      <w:bookmarkEnd w:id="2116"/>
      <w:bookmarkEnd w:id="2117"/>
      <w:bookmarkEnd w:id="2118"/>
      <w:bookmarkEnd w:id="2119"/>
      <w:bookmarkEnd w:id="2120"/>
      <w:r>
        <w:rPr>
          <w:rFonts w:hint="eastAsia" w:ascii="宋体" w:hAnsi="宋体" w:cs="宋体"/>
          <w:color w:val="auto"/>
          <w:szCs w:val="21"/>
          <w:highlight w:val="none"/>
          <w:lang w:bidi="ar"/>
        </w:rPr>
        <w:t xml:space="preserve"> </w:t>
      </w:r>
    </w:p>
    <w:p w14:paraId="436C3C6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0E05CCD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对于每笔暂列金额，发包人可以指示用于下列支付：</w:t>
      </w:r>
    </w:p>
    <w:p w14:paraId="00E567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（1）发包人根据第13.1款[发包人变更权]指示变更，决定对合同价格和付款计划表（如有）进行调整的、由承包人实施的工作（包括要提供的工程设备、材料和服务）；</w:t>
      </w:r>
    </w:p>
    <w:p w14:paraId="5CBF40A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购买的工程设备、材料、工作或服务，应支付包括承包人已付（或应付）的实际金额以及相应的管理费等费用和利润（管理费和利润应以实际金额为基数根据合同约定的费率（如有）或百分比计算）。</w:t>
      </w:r>
    </w:p>
    <w:p w14:paraId="04E4136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423A760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每份包含暂列金额的文件还应包括用以证明暂列金额的所有有效的发票、凭证和账户或收据。</w:t>
      </w:r>
    </w:p>
    <w:p w14:paraId="6675A46D">
      <w:pPr>
        <w:widowControl/>
        <w:wordWrap w:val="0"/>
        <w:topLinePunct/>
        <w:adjustRightInd w:val="0"/>
        <w:snapToGrid w:val="0"/>
        <w:spacing w:after="163" w:afterLines="50" w:line="360" w:lineRule="auto"/>
        <w:outlineLvl w:val="2"/>
        <w:rPr>
          <w:rFonts w:ascii="宋体" w:hAnsi="宋体" w:cs="宋体"/>
          <w:color w:val="auto"/>
          <w:highlight w:val="none"/>
        </w:rPr>
      </w:pPr>
      <w:bookmarkStart w:id="2121" w:name="_Toc337558845"/>
      <w:bookmarkEnd w:id="2121"/>
      <w:bookmarkStart w:id="2122" w:name="_Toc296346653"/>
      <w:bookmarkEnd w:id="2122"/>
      <w:bookmarkStart w:id="2123" w:name="_Toc20171829"/>
      <w:bookmarkEnd w:id="2123"/>
      <w:bookmarkStart w:id="2124" w:name="_Toc296503152"/>
      <w:bookmarkEnd w:id="2124"/>
      <w:bookmarkStart w:id="2125" w:name="_Ref4431438"/>
      <w:bookmarkStart w:id="2126" w:name="_Toc170932548"/>
      <w:bookmarkStart w:id="2127" w:name="_Toc51766681"/>
      <w:bookmarkStart w:id="2128" w:name="_Toc84930817"/>
      <w:bookmarkStart w:id="2129" w:name="_Toc58860268"/>
      <w:bookmarkStart w:id="2130" w:name="_Toc12830"/>
      <w:bookmarkStart w:id="2131" w:name="_Toc9125"/>
      <w:bookmarkStart w:id="2132" w:name="_Toc12431"/>
      <w:r>
        <w:rPr>
          <w:rFonts w:hint="eastAsia" w:ascii="宋体" w:hAnsi="宋体" w:cs="宋体"/>
          <w:color w:val="auto"/>
          <w:szCs w:val="21"/>
          <w:highlight w:val="none"/>
          <w:lang w:bidi="ar"/>
        </w:rPr>
        <w:t>1</w:t>
      </w:r>
      <w:bookmarkEnd w:id="2125"/>
      <w:r>
        <w:rPr>
          <w:rFonts w:hint="eastAsia" w:ascii="宋体" w:hAnsi="宋体" w:cs="宋体"/>
          <w:color w:val="auto"/>
          <w:szCs w:val="21"/>
          <w:highlight w:val="none"/>
          <w:lang w:bidi="ar"/>
        </w:rPr>
        <w:t>3.6  计日工</w:t>
      </w:r>
      <w:bookmarkEnd w:id="2126"/>
      <w:bookmarkEnd w:id="2127"/>
      <w:bookmarkEnd w:id="2128"/>
      <w:bookmarkEnd w:id="2129"/>
      <w:bookmarkEnd w:id="2130"/>
      <w:bookmarkEnd w:id="2131"/>
      <w:bookmarkEnd w:id="2132"/>
    </w:p>
    <w:p w14:paraId="5E6981ED">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13.6.1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10BBF5EE">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13.6.2采用计日工计价的任何一项工作，承包人应在该项工作实施过程中，每天提交以下报表和有关凭证报送工程师审查：</w:t>
      </w:r>
    </w:p>
    <w:p w14:paraId="29689C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（1）工作名称、内容和数量；</w:t>
      </w:r>
    </w:p>
    <w:p w14:paraId="150230D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（2）投入该工作的所有人员的姓名、专业、工种、级别和耗用工时；</w:t>
      </w:r>
    </w:p>
    <w:p w14:paraId="4B3036B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（3）投入该工作的材料类别和数量；</w:t>
      </w:r>
    </w:p>
    <w:p w14:paraId="6AD559E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（4）投入该工作的施工设备型号、台数和耗用台时；</w:t>
      </w:r>
    </w:p>
    <w:p w14:paraId="516E0BA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（5）其他有关资料和凭证。</w:t>
      </w:r>
    </w:p>
    <w:p w14:paraId="31D6BB0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计日工由承包人汇总后，列入最近一期进度付款申请单，由工程师审查并经发包人批准后列入进度付款。</w:t>
      </w:r>
    </w:p>
    <w:p w14:paraId="690C3EE5">
      <w:pPr>
        <w:widowControl/>
        <w:wordWrap w:val="0"/>
        <w:topLinePunct/>
        <w:adjustRightInd w:val="0"/>
        <w:snapToGrid w:val="0"/>
        <w:spacing w:after="163" w:afterLines="50" w:line="360" w:lineRule="auto"/>
        <w:outlineLvl w:val="2"/>
        <w:rPr>
          <w:rFonts w:ascii="宋体" w:hAnsi="宋体" w:cs="宋体"/>
          <w:color w:val="auto"/>
          <w:highlight w:val="none"/>
        </w:rPr>
      </w:pPr>
      <w:bookmarkStart w:id="2133" w:name="_Toc20171830"/>
      <w:bookmarkEnd w:id="2133"/>
      <w:bookmarkStart w:id="2134" w:name="_Ref4617318"/>
      <w:bookmarkEnd w:id="2134"/>
      <w:bookmarkStart w:id="2135" w:name="_Ref4617331"/>
      <w:bookmarkStart w:id="2136" w:name="_Toc27802"/>
      <w:bookmarkStart w:id="2137" w:name="_Toc12734"/>
      <w:bookmarkStart w:id="2138" w:name="_Toc58860269"/>
      <w:bookmarkStart w:id="2139" w:name="_Toc51766682"/>
      <w:bookmarkStart w:id="2140" w:name="_Toc84930818"/>
      <w:bookmarkStart w:id="2141" w:name="_Toc170932549"/>
      <w:bookmarkStart w:id="2142" w:name="_Toc18799"/>
      <w:bookmarkStart w:id="2143" w:name="_Toc3388"/>
      <w:r>
        <w:rPr>
          <w:rFonts w:hint="eastAsia" w:ascii="宋体" w:hAnsi="宋体" w:cs="宋体"/>
          <w:color w:val="auto"/>
          <w:szCs w:val="21"/>
          <w:highlight w:val="none"/>
          <w:lang w:bidi="ar"/>
        </w:rPr>
        <w:t>1</w:t>
      </w:r>
      <w:bookmarkEnd w:id="2135"/>
      <w:r>
        <w:rPr>
          <w:rFonts w:hint="eastAsia" w:ascii="宋体" w:hAnsi="宋体" w:cs="宋体"/>
          <w:color w:val="auto"/>
          <w:szCs w:val="21"/>
          <w:highlight w:val="none"/>
          <w:lang w:bidi="ar"/>
        </w:rPr>
        <w:t>3.7  法律变化引起的调整</w:t>
      </w:r>
      <w:bookmarkEnd w:id="2136"/>
      <w:bookmarkEnd w:id="2137"/>
      <w:bookmarkEnd w:id="2138"/>
      <w:bookmarkEnd w:id="2139"/>
      <w:bookmarkEnd w:id="2140"/>
      <w:bookmarkEnd w:id="2141"/>
      <w:bookmarkEnd w:id="2142"/>
      <w:bookmarkEnd w:id="2143"/>
    </w:p>
    <w:p w14:paraId="23D277BD">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13.7.1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50CD75ED">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13.7.2因法律变化引起的合同价格和工期调整，合同当事人无法达成一致的，由工程师按第3.6款[商定或确定]的约定处理。</w:t>
      </w:r>
    </w:p>
    <w:p w14:paraId="61E9BDD6">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13.7.3因承包人原因造成工期延误，在工期延误期间出现法律变化的，由此增加的费用和（或）延误的工期由承包人承担。</w:t>
      </w:r>
    </w:p>
    <w:p w14:paraId="244E9812">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13.7.4因法律变化而需要对工程的实施进行任何调整的，承包人应迅速通知发包人，或者发包人应迅速通知承包人，并附上详细的辅助资料。发包人接到通知后，应根据第13.3款[变更程序]发出变更指示。</w:t>
      </w:r>
    </w:p>
    <w:p w14:paraId="5B45735B">
      <w:pPr>
        <w:widowControl/>
        <w:wordWrap w:val="0"/>
        <w:topLinePunct/>
        <w:adjustRightInd w:val="0"/>
        <w:snapToGrid w:val="0"/>
        <w:spacing w:after="163" w:afterLines="50" w:line="360" w:lineRule="auto"/>
        <w:outlineLvl w:val="2"/>
        <w:rPr>
          <w:rFonts w:ascii="宋体" w:hAnsi="宋体" w:cs="宋体"/>
          <w:color w:val="auto"/>
          <w:highlight w:val="none"/>
        </w:rPr>
      </w:pPr>
      <w:bookmarkStart w:id="2144" w:name="_Ref531955630"/>
      <w:bookmarkEnd w:id="2144"/>
      <w:bookmarkStart w:id="2145" w:name="_Ref531955627"/>
      <w:bookmarkEnd w:id="2145"/>
      <w:bookmarkStart w:id="2146" w:name="_Ref18977613"/>
      <w:bookmarkEnd w:id="2146"/>
      <w:bookmarkStart w:id="2147" w:name="_Toc20171831"/>
      <w:bookmarkStart w:id="2148" w:name="_Toc84930819"/>
      <w:bookmarkStart w:id="2149" w:name="_Toc20849"/>
      <w:bookmarkStart w:id="2150" w:name="_Toc8831"/>
      <w:bookmarkStart w:id="2151" w:name="_Toc31665"/>
      <w:bookmarkStart w:id="2152" w:name="_Toc170932550"/>
      <w:bookmarkStart w:id="2153" w:name="_Toc58860270"/>
      <w:bookmarkStart w:id="2154" w:name="_Toc51766683"/>
      <w:bookmarkStart w:id="2155" w:name="_Toc28227"/>
      <w:r>
        <w:rPr>
          <w:rFonts w:hint="eastAsia" w:ascii="宋体" w:hAnsi="宋体" w:cs="宋体"/>
          <w:color w:val="auto"/>
          <w:szCs w:val="21"/>
          <w:highlight w:val="none"/>
          <w:lang w:bidi="ar"/>
        </w:rPr>
        <w:t>1</w:t>
      </w:r>
      <w:bookmarkEnd w:id="2147"/>
      <w:r>
        <w:rPr>
          <w:rFonts w:hint="eastAsia" w:ascii="宋体" w:hAnsi="宋体" w:cs="宋体"/>
          <w:color w:val="auto"/>
          <w:szCs w:val="21"/>
          <w:highlight w:val="none"/>
          <w:lang w:bidi="ar"/>
        </w:rPr>
        <w:t>3.8  市场价格波动引起的调整</w:t>
      </w:r>
      <w:bookmarkEnd w:id="2148"/>
      <w:bookmarkEnd w:id="2149"/>
      <w:bookmarkEnd w:id="2150"/>
      <w:bookmarkEnd w:id="2151"/>
      <w:bookmarkEnd w:id="2152"/>
      <w:bookmarkEnd w:id="2153"/>
      <w:bookmarkEnd w:id="2154"/>
      <w:bookmarkEnd w:id="2155"/>
    </w:p>
    <w:p w14:paraId="23F7E4F5">
      <w:pPr>
        <w:widowControl/>
        <w:adjustRightInd w:val="0"/>
        <w:snapToGrid w:val="0"/>
        <w:spacing w:after="163" w:afterLines="50" w:line="360" w:lineRule="auto"/>
        <w:ind w:firstLine="420" w:firstLineChars="200"/>
        <w:rPr>
          <w:rFonts w:ascii="宋体" w:hAnsi="宋体" w:cs="宋体"/>
          <w:color w:val="auto"/>
          <w:highlight w:val="none"/>
        </w:rPr>
      </w:pPr>
      <w:bookmarkStart w:id="2156" w:name="_Ref4709841"/>
      <w:bookmarkEnd w:id="2156"/>
      <w:r>
        <w:rPr>
          <w:rFonts w:hint="eastAsia" w:ascii="宋体" w:hAnsi="宋体" w:cs="宋体"/>
          <w:color w:val="auto"/>
          <w:szCs w:val="21"/>
          <w:highlight w:val="none"/>
          <w:lang w:bidi="ar"/>
        </w:rPr>
        <w:t>13.8.1主要工程材料、设备、人工价格与招标时基期价相比，波动幅度超过合同约定幅度的，双方按照合同约定的价格调整方式调整。</w:t>
      </w:r>
    </w:p>
    <w:p w14:paraId="6F3FBF2A">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13.8.2发包人与承包人在专用合同条件中约定采用《价格指数权重表》的，适用本项约定。</w:t>
      </w:r>
    </w:p>
    <w:p w14:paraId="5881CC2E">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13.8.2.1双方当事人可以将部分主要工程材料、工程设备、人工价格及其他双方认为应当根据市场价格调整的费用列入附件</w:t>
      </w:r>
      <w:r>
        <w:rPr>
          <w:rFonts w:ascii="宋体" w:hAnsi="宋体" w:cs="宋体"/>
          <w:color w:val="auto"/>
          <w:szCs w:val="21"/>
          <w:highlight w:val="none"/>
          <w:lang w:bidi="ar"/>
        </w:rPr>
        <w:t>6</w:t>
      </w:r>
      <w:r>
        <w:rPr>
          <w:rFonts w:hint="eastAsia" w:ascii="宋体" w:hAnsi="宋体" w:cs="宋体"/>
          <w:color w:val="auto"/>
          <w:szCs w:val="21"/>
          <w:highlight w:val="none"/>
          <w:lang w:bidi="ar"/>
        </w:rPr>
        <w:t>《价格指数权重表》，并根据以下公式计算差额并调整合同价格：</w:t>
      </w:r>
    </w:p>
    <w:p w14:paraId="11CDEA69">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157" w:name="_Ref4616996"/>
      <w:bookmarkEnd w:id="2157"/>
      <w:r>
        <w:rPr>
          <w:rFonts w:hint="eastAsia" w:ascii="宋体" w:hAnsi="宋体" w:cs="宋体"/>
          <w:color w:val="auto"/>
          <w:kern w:val="0"/>
          <w:szCs w:val="21"/>
          <w:highlight w:val="none"/>
          <w:lang w:bidi="ar"/>
        </w:rPr>
        <w:t>（1）价格调整公式</w:t>
      </w:r>
    </w:p>
    <w:p w14:paraId="4B5FCC6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szCs w:val="21"/>
          <w:highlight w:val="none"/>
        </w:rPr>
        <w:drawing>
          <wp:inline distT="0" distB="0" distL="114300" distR="114300">
            <wp:extent cx="4429125" cy="371475"/>
            <wp:effectExtent l="0" t="0" r="9525" b="952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8" r:link="rId9"/>
                    <a:stretch>
                      <a:fillRect/>
                    </a:stretch>
                  </pic:blipFill>
                  <pic:spPr>
                    <a:xfrm>
                      <a:off x="0" y="0"/>
                      <a:ext cx="4429125" cy="371475"/>
                    </a:xfrm>
                    <a:prstGeom prst="rect">
                      <a:avLst/>
                    </a:prstGeom>
                    <a:noFill/>
                    <a:ln>
                      <a:noFill/>
                    </a:ln>
                  </pic:spPr>
                </pic:pic>
              </a:graphicData>
            </a:graphic>
          </wp:inline>
        </w:drawing>
      </w:r>
      <w:r>
        <w:rPr>
          <w:rFonts w:hint="eastAsia" w:ascii="宋体" w:hAnsi="宋体" w:cs="宋体"/>
          <w:color w:val="auto"/>
          <w:kern w:val="0"/>
          <w:szCs w:val="21"/>
          <w:highlight w:val="none"/>
          <w:lang w:bidi="ar"/>
        </w:rPr>
        <w:t xml:space="preserve"> </w:t>
      </w:r>
    </w:p>
    <w:p w14:paraId="256AE97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公式中：△P---需调整的价格差额；</w:t>
      </w:r>
    </w:p>
    <w:p w14:paraId="765438D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P</w:t>
      </w:r>
      <w:r>
        <w:rPr>
          <w:rFonts w:hint="eastAsia" w:ascii="宋体" w:hAnsi="宋体" w:cs="宋体"/>
          <w:color w:val="auto"/>
          <w:kern w:val="0"/>
          <w:szCs w:val="21"/>
          <w:highlight w:val="none"/>
          <w:vertAlign w:val="subscript"/>
          <w:lang w:bidi="ar"/>
        </w:rPr>
        <w:t>O</w:t>
      </w:r>
      <w:r>
        <w:rPr>
          <w:rFonts w:hint="eastAsia" w:ascii="宋体" w:hAnsi="宋体" w:cs="宋体"/>
          <w:color w:val="auto"/>
          <w:kern w:val="0"/>
          <w:szCs w:val="21"/>
          <w:highlight w:val="none"/>
          <w:lang w:bidi="ar"/>
        </w:rPr>
        <w:t>---付款证书中承包人应得到的已完成工作量的金额。此项金额应不包括价格调整、不计质量保证金的预留和支付、预付款的支付和扣回。第13条[变更与</w:t>
      </w:r>
      <w:r>
        <w:rPr>
          <w:rFonts w:ascii="宋体" w:hAnsi="宋体" w:cs="宋体"/>
          <w:color w:val="auto"/>
          <w:kern w:val="0"/>
          <w:szCs w:val="21"/>
          <w:highlight w:val="none"/>
          <w:lang w:bidi="ar"/>
        </w:rPr>
        <w:t>调整</w:t>
      </w:r>
      <w:r>
        <w:rPr>
          <w:rFonts w:hint="eastAsia" w:ascii="宋体" w:hAnsi="宋体" w:cs="宋体"/>
          <w:color w:val="auto"/>
          <w:kern w:val="0"/>
          <w:szCs w:val="21"/>
          <w:highlight w:val="none"/>
          <w:lang w:bidi="ar"/>
        </w:rPr>
        <w:t>]约定的变更及其他金额已按当期价格计价的，也不计在内；</w:t>
      </w:r>
    </w:p>
    <w:p w14:paraId="60438BA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A ---定值权重（即不调部分的权重）； </w:t>
      </w:r>
    </w:p>
    <w:p w14:paraId="1D84599D">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158" w:name="_Hlk24103184"/>
      <w:bookmarkEnd w:id="2158"/>
      <w:r>
        <w:rPr>
          <w:rFonts w:hint="eastAsia" w:ascii="宋体" w:hAnsi="宋体" w:cs="宋体"/>
          <w:color w:val="auto"/>
          <w:kern w:val="0"/>
          <w:szCs w:val="21"/>
          <w:highlight w:val="none"/>
          <w:lang w:bidi="ar"/>
        </w:rPr>
        <w:t>B</w:t>
      </w:r>
      <w:r>
        <w:rPr>
          <w:rFonts w:hint="eastAsia" w:ascii="宋体" w:hAnsi="宋体" w:cs="宋体"/>
          <w:color w:val="auto"/>
          <w:kern w:val="0"/>
          <w:szCs w:val="21"/>
          <w:highlight w:val="none"/>
          <w:vertAlign w:val="subscript"/>
          <w:lang w:bidi="ar"/>
        </w:rPr>
        <w:t>1</w:t>
      </w:r>
      <w:r>
        <w:rPr>
          <w:rFonts w:hint="eastAsia" w:ascii="宋体" w:hAnsi="宋体" w:cs="宋体"/>
          <w:color w:val="auto"/>
          <w:kern w:val="0"/>
          <w:szCs w:val="21"/>
          <w:highlight w:val="none"/>
          <w:lang w:bidi="ar"/>
        </w:rPr>
        <w:t>；</w:t>
      </w:r>
      <w:bookmarkStart w:id="2159" w:name="_Hlk24103205"/>
      <w:r>
        <w:rPr>
          <w:rFonts w:hint="eastAsia" w:ascii="宋体" w:hAnsi="宋体" w:cs="宋体"/>
          <w:color w:val="auto"/>
          <w:kern w:val="0"/>
          <w:szCs w:val="21"/>
          <w:highlight w:val="none"/>
          <w:lang w:bidi="ar"/>
        </w:rPr>
        <w:t>B</w:t>
      </w:r>
      <w:bookmarkEnd w:id="2159"/>
      <w:r>
        <w:rPr>
          <w:rFonts w:hint="eastAsia" w:ascii="宋体" w:hAnsi="宋体" w:cs="宋体"/>
          <w:color w:val="auto"/>
          <w:kern w:val="0"/>
          <w:szCs w:val="21"/>
          <w:highlight w:val="none"/>
          <w:vertAlign w:val="subscript"/>
          <w:lang w:bidi="ar"/>
        </w:rPr>
        <w:t>2</w:t>
      </w:r>
      <w:r>
        <w:rPr>
          <w:rFonts w:hint="eastAsia" w:ascii="宋体" w:hAnsi="宋体" w:cs="宋体"/>
          <w:color w:val="auto"/>
          <w:kern w:val="0"/>
          <w:szCs w:val="21"/>
          <w:highlight w:val="none"/>
          <w:lang w:bidi="ar"/>
        </w:rPr>
        <w:t>；</w:t>
      </w:r>
      <w:bookmarkStart w:id="2160" w:name="_Hlk24103220"/>
      <w:r>
        <w:rPr>
          <w:rFonts w:hint="eastAsia" w:ascii="宋体" w:hAnsi="宋体" w:cs="宋体"/>
          <w:color w:val="auto"/>
          <w:kern w:val="0"/>
          <w:szCs w:val="21"/>
          <w:highlight w:val="none"/>
          <w:lang w:bidi="ar"/>
        </w:rPr>
        <w:t>B</w:t>
      </w:r>
      <w:bookmarkEnd w:id="2160"/>
      <w:r>
        <w:rPr>
          <w:rFonts w:hint="eastAsia" w:ascii="宋体" w:hAnsi="宋体" w:cs="宋体"/>
          <w:color w:val="auto"/>
          <w:kern w:val="0"/>
          <w:szCs w:val="21"/>
          <w:highlight w:val="none"/>
          <w:vertAlign w:val="subscript"/>
          <w:lang w:bidi="ar"/>
        </w:rPr>
        <w:t>3</w:t>
      </w:r>
      <w:r>
        <w:rPr>
          <w:rFonts w:hint="eastAsia" w:ascii="宋体" w:hAnsi="宋体" w:cs="宋体"/>
          <w:color w:val="auto"/>
          <w:kern w:val="0"/>
          <w:szCs w:val="21"/>
          <w:highlight w:val="none"/>
          <w:lang w:bidi="ar"/>
        </w:rPr>
        <w:t>；……</w:t>
      </w:r>
      <w:bookmarkStart w:id="2161" w:name="_Hlk24103245"/>
      <w:r>
        <w:rPr>
          <w:rFonts w:hint="eastAsia" w:ascii="宋体" w:hAnsi="宋体" w:cs="宋体"/>
          <w:color w:val="auto"/>
          <w:kern w:val="0"/>
          <w:szCs w:val="21"/>
          <w:highlight w:val="none"/>
          <w:lang w:bidi="ar"/>
        </w:rPr>
        <w:t>B</w:t>
      </w:r>
      <w:bookmarkEnd w:id="2161"/>
      <w:r>
        <w:rPr>
          <w:rFonts w:hint="eastAsia" w:ascii="宋体" w:hAnsi="宋体" w:cs="宋体"/>
          <w:color w:val="auto"/>
          <w:kern w:val="0"/>
          <w:szCs w:val="21"/>
          <w:highlight w:val="none"/>
          <w:vertAlign w:val="subscript"/>
          <w:lang w:bidi="ar"/>
        </w:rPr>
        <w:t>n</w:t>
      </w:r>
      <w:r>
        <w:rPr>
          <w:rFonts w:hint="eastAsia" w:ascii="宋体" w:hAnsi="宋体" w:cs="宋体"/>
          <w:color w:val="auto"/>
          <w:kern w:val="0"/>
          <w:szCs w:val="21"/>
          <w:highlight w:val="none"/>
          <w:lang w:bidi="ar"/>
        </w:rPr>
        <w:t>---各可调因子的变值权重（即可调部分的权重）为各可调因子在投标函投标总报价中所占的比例，且A+B</w:t>
      </w:r>
      <w:r>
        <w:rPr>
          <w:rFonts w:hint="eastAsia" w:ascii="宋体" w:hAnsi="宋体" w:cs="宋体"/>
          <w:color w:val="auto"/>
          <w:kern w:val="0"/>
          <w:szCs w:val="21"/>
          <w:highlight w:val="none"/>
          <w:vertAlign w:val="subscript"/>
          <w:lang w:bidi="ar"/>
        </w:rPr>
        <w:t>1</w:t>
      </w:r>
      <w:r>
        <w:rPr>
          <w:rFonts w:hint="eastAsia" w:ascii="宋体" w:hAnsi="宋体" w:cs="宋体"/>
          <w:color w:val="auto"/>
          <w:kern w:val="0"/>
          <w:szCs w:val="21"/>
          <w:highlight w:val="none"/>
          <w:lang w:bidi="ar"/>
        </w:rPr>
        <w:t>+B</w:t>
      </w:r>
      <w:r>
        <w:rPr>
          <w:rFonts w:hint="eastAsia" w:ascii="宋体" w:hAnsi="宋体" w:cs="宋体"/>
          <w:color w:val="auto"/>
          <w:kern w:val="0"/>
          <w:szCs w:val="21"/>
          <w:highlight w:val="none"/>
          <w:vertAlign w:val="subscript"/>
          <w:lang w:bidi="ar"/>
        </w:rPr>
        <w:t>2</w:t>
      </w:r>
      <w:r>
        <w:rPr>
          <w:rFonts w:hint="eastAsia" w:ascii="宋体" w:hAnsi="宋体" w:cs="宋体"/>
          <w:color w:val="auto"/>
          <w:kern w:val="0"/>
          <w:szCs w:val="21"/>
          <w:highlight w:val="none"/>
          <w:lang w:bidi="ar"/>
        </w:rPr>
        <w:t>+B</w:t>
      </w:r>
      <w:r>
        <w:rPr>
          <w:rFonts w:hint="eastAsia" w:ascii="宋体" w:hAnsi="宋体" w:cs="宋体"/>
          <w:color w:val="auto"/>
          <w:kern w:val="0"/>
          <w:szCs w:val="21"/>
          <w:highlight w:val="none"/>
          <w:vertAlign w:val="subscript"/>
          <w:lang w:bidi="ar"/>
        </w:rPr>
        <w:t>3</w:t>
      </w:r>
      <w:r>
        <w:rPr>
          <w:rFonts w:hint="eastAsia" w:ascii="宋体" w:hAnsi="宋体" w:cs="宋体"/>
          <w:color w:val="auto"/>
          <w:kern w:val="0"/>
          <w:szCs w:val="21"/>
          <w:highlight w:val="none"/>
          <w:lang w:bidi="ar"/>
        </w:rPr>
        <w:t>+……+B</w:t>
      </w:r>
      <w:r>
        <w:rPr>
          <w:rFonts w:hint="eastAsia" w:ascii="宋体" w:hAnsi="宋体" w:cs="宋体"/>
          <w:color w:val="auto"/>
          <w:kern w:val="0"/>
          <w:szCs w:val="21"/>
          <w:highlight w:val="none"/>
          <w:vertAlign w:val="subscript"/>
          <w:lang w:bidi="ar"/>
        </w:rPr>
        <w:t>n</w:t>
      </w:r>
      <w:r>
        <w:rPr>
          <w:rFonts w:hint="eastAsia" w:ascii="宋体" w:hAnsi="宋体" w:cs="宋体"/>
          <w:color w:val="auto"/>
          <w:kern w:val="0"/>
          <w:szCs w:val="21"/>
          <w:highlight w:val="none"/>
          <w:lang w:bidi="ar"/>
        </w:rPr>
        <w:t>=1；</w:t>
      </w:r>
    </w:p>
    <w:p w14:paraId="0FCB70D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t1</w:t>
      </w: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t2</w:t>
      </w: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t3</w:t>
      </w: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tn</w:t>
      </w:r>
      <w:r>
        <w:rPr>
          <w:rFonts w:hint="eastAsia" w:ascii="宋体" w:hAnsi="宋体" w:cs="宋体"/>
          <w:color w:val="auto"/>
          <w:kern w:val="0"/>
          <w:szCs w:val="21"/>
          <w:highlight w:val="none"/>
          <w:lang w:bidi="ar"/>
        </w:rPr>
        <w:t>---各可调因子的当期价格指数，指付款证书相关周期最后一天的前42天的各可调因子的价格指数；</w:t>
      </w:r>
    </w:p>
    <w:p w14:paraId="6BF03E3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01</w:t>
      </w: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02</w:t>
      </w: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03</w:t>
      </w:r>
      <w:r>
        <w:rPr>
          <w:rFonts w:hint="eastAsia" w:ascii="宋体" w:hAnsi="宋体" w:cs="宋体"/>
          <w:color w:val="auto"/>
          <w:kern w:val="0"/>
          <w:szCs w:val="21"/>
          <w:highlight w:val="none"/>
          <w:lang w:bidi="ar"/>
        </w:rPr>
        <w:t>；……F</w:t>
      </w:r>
      <w:r>
        <w:rPr>
          <w:rFonts w:hint="eastAsia" w:ascii="宋体" w:hAnsi="宋体" w:cs="宋体"/>
          <w:color w:val="auto"/>
          <w:kern w:val="0"/>
          <w:szCs w:val="21"/>
          <w:highlight w:val="none"/>
          <w:vertAlign w:val="subscript"/>
          <w:lang w:bidi="ar"/>
        </w:rPr>
        <w:t>0n</w:t>
      </w:r>
      <w:r>
        <w:rPr>
          <w:rFonts w:hint="eastAsia" w:ascii="宋体" w:hAnsi="宋体" w:cs="宋体"/>
          <w:color w:val="auto"/>
          <w:kern w:val="0"/>
          <w:szCs w:val="21"/>
          <w:highlight w:val="none"/>
          <w:lang w:bidi="ar"/>
        </w:rPr>
        <w:t>---各可调因子的基本价格指数，指基准日期的各可调因子的价格指数。</w:t>
      </w:r>
    </w:p>
    <w:p w14:paraId="2E8AB6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72851F5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（2）暂时确定调整差额</w:t>
      </w:r>
    </w:p>
    <w:p w14:paraId="0339001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在计算调整差额时得不到当期价格指数的，可暂用上一次价格指数计算，并在以后的付款中再按实际价格指数进行调整。</w:t>
      </w:r>
    </w:p>
    <w:p w14:paraId="1F7312F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（3）权重的调整</w:t>
      </w:r>
    </w:p>
    <w:p w14:paraId="44513D2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按第13.1款[发包人变更权]约定的变更导致原定合同中的权重不合理的，由工程师与承包人和发包人协商后进行调整。</w:t>
      </w:r>
    </w:p>
    <w:p w14:paraId="115F3C0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（4）承包人原因工期延误后的价格调整</w:t>
      </w:r>
    </w:p>
    <w:p w14:paraId="6D30A8F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409D7BB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（5）发包人引起的工期延误后的价格调整</w:t>
      </w:r>
    </w:p>
    <w:p w14:paraId="5FAFFDB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2206714D">
      <w:pPr>
        <w:widowControl/>
        <w:wordWrap w:val="0"/>
        <w:topLinePunct/>
        <w:autoSpaceDE w:val="0"/>
        <w:autoSpaceDN w:val="0"/>
        <w:adjustRightInd w:val="0"/>
        <w:snapToGrid w:val="0"/>
        <w:spacing w:after="163" w:afterLines="50" w:line="360" w:lineRule="auto"/>
        <w:ind w:left="480"/>
        <w:rPr>
          <w:rFonts w:ascii="宋体" w:hAnsi="宋体" w:cs="宋体"/>
          <w:color w:val="auto"/>
          <w:highlight w:val="none"/>
        </w:rPr>
      </w:pPr>
      <w:r>
        <w:rPr>
          <w:rFonts w:hint="eastAsia" w:ascii="宋体" w:hAnsi="宋体" w:cs="宋体"/>
          <w:color w:val="auto"/>
          <w:szCs w:val="21"/>
          <w:highlight w:val="none"/>
          <w:lang w:bidi="ar"/>
        </w:rPr>
        <w:t>13.8.2.2未列入</w:t>
      </w:r>
      <w:bookmarkStart w:id="2162" w:name="_Hlk24494865"/>
      <w:r>
        <w:rPr>
          <w:rFonts w:hint="eastAsia" w:ascii="宋体" w:hAnsi="宋体" w:cs="宋体"/>
          <w:color w:val="auto"/>
          <w:szCs w:val="21"/>
          <w:highlight w:val="none"/>
          <w:lang w:bidi="ar"/>
        </w:rPr>
        <w:t>《价格指数权重表》</w:t>
      </w:r>
      <w:bookmarkEnd w:id="2162"/>
      <w:r>
        <w:rPr>
          <w:rFonts w:hint="eastAsia" w:ascii="宋体" w:hAnsi="宋体" w:cs="宋体"/>
          <w:color w:val="auto"/>
          <w:szCs w:val="21"/>
          <w:highlight w:val="none"/>
          <w:lang w:bidi="ar"/>
        </w:rPr>
        <w:t>的费用不因市场变化而调整。</w:t>
      </w:r>
    </w:p>
    <w:p w14:paraId="4DCF3455">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13.8.3双方约定采用其他方式调整合同价款的，以专用合同条件约定为准。</w:t>
      </w:r>
    </w:p>
    <w:p w14:paraId="7EAAFBB4">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163" w:name="_Toc20171832"/>
      <w:bookmarkEnd w:id="2163"/>
      <w:bookmarkStart w:id="2164" w:name="_Ref531955880"/>
      <w:bookmarkEnd w:id="2164"/>
      <w:bookmarkStart w:id="2165" w:name="_Ref531955885"/>
      <w:bookmarkStart w:id="2166" w:name="_Toc170932551"/>
      <w:bookmarkStart w:id="2167" w:name="_Toc11958"/>
      <w:r>
        <w:rPr>
          <w:rFonts w:hint="eastAsia" w:ascii="宋体" w:hAnsi="宋体" w:cs="宋体"/>
          <w:color w:val="auto"/>
          <w:kern w:val="0"/>
          <w:szCs w:val="21"/>
          <w:highlight w:val="none"/>
          <w:lang w:bidi="ar"/>
        </w:rPr>
        <w:t>第1</w:t>
      </w:r>
      <w:bookmarkEnd w:id="2165"/>
      <w:r>
        <w:rPr>
          <w:rFonts w:hint="eastAsia" w:ascii="宋体" w:hAnsi="宋体" w:cs="宋体"/>
          <w:color w:val="auto"/>
          <w:kern w:val="0"/>
          <w:szCs w:val="21"/>
          <w:highlight w:val="none"/>
          <w:lang w:bidi="ar"/>
        </w:rPr>
        <w:t>4条  合同价格与支付</w:t>
      </w:r>
      <w:bookmarkEnd w:id="2166"/>
      <w:bookmarkEnd w:id="2167"/>
      <w:r>
        <w:rPr>
          <w:rFonts w:hint="eastAsia" w:ascii="宋体" w:hAnsi="宋体" w:cs="宋体"/>
          <w:color w:val="auto"/>
          <w:kern w:val="0"/>
          <w:szCs w:val="21"/>
          <w:highlight w:val="none"/>
          <w:lang w:bidi="ar"/>
        </w:rPr>
        <w:t xml:space="preserve"> </w:t>
      </w:r>
    </w:p>
    <w:p w14:paraId="0794412A">
      <w:pPr>
        <w:widowControl/>
        <w:wordWrap w:val="0"/>
        <w:topLinePunct/>
        <w:adjustRightInd w:val="0"/>
        <w:snapToGrid w:val="0"/>
        <w:spacing w:after="163" w:afterLines="50" w:line="360" w:lineRule="auto"/>
        <w:outlineLvl w:val="2"/>
        <w:rPr>
          <w:rFonts w:ascii="宋体" w:hAnsi="宋体" w:cs="宋体"/>
          <w:color w:val="auto"/>
          <w:highlight w:val="none"/>
        </w:rPr>
      </w:pPr>
      <w:bookmarkStart w:id="2168" w:name="_Ref4431531"/>
      <w:bookmarkEnd w:id="2168"/>
      <w:bookmarkStart w:id="2169" w:name="_Toc20171833"/>
      <w:bookmarkEnd w:id="2169"/>
      <w:bookmarkStart w:id="2170" w:name="_Ref4431521"/>
      <w:bookmarkStart w:id="2171" w:name="_Toc14204"/>
      <w:bookmarkStart w:id="2172" w:name="_Toc170932552"/>
      <w:bookmarkStart w:id="2173" w:name="_Toc51766685"/>
      <w:bookmarkStart w:id="2174" w:name="_Toc58860272"/>
      <w:bookmarkStart w:id="2175" w:name="_Toc84930821"/>
      <w:bookmarkStart w:id="2176" w:name="_Toc2462"/>
      <w:bookmarkStart w:id="2177" w:name="_Toc25109"/>
      <w:bookmarkStart w:id="2178" w:name="_Toc27257"/>
      <w:r>
        <w:rPr>
          <w:rFonts w:hint="eastAsia" w:ascii="宋体" w:hAnsi="宋体" w:cs="宋体"/>
          <w:color w:val="auto"/>
          <w:szCs w:val="21"/>
          <w:highlight w:val="none"/>
          <w:lang w:bidi="ar"/>
        </w:rPr>
        <w:t>1</w:t>
      </w:r>
      <w:bookmarkEnd w:id="2170"/>
      <w:r>
        <w:rPr>
          <w:rFonts w:hint="eastAsia" w:ascii="宋体" w:hAnsi="宋体" w:cs="宋体"/>
          <w:color w:val="auto"/>
          <w:szCs w:val="21"/>
          <w:highlight w:val="none"/>
          <w:lang w:bidi="ar"/>
        </w:rPr>
        <w:t>4.1  合同价格形式</w:t>
      </w:r>
      <w:bookmarkEnd w:id="2171"/>
      <w:bookmarkEnd w:id="2172"/>
      <w:bookmarkEnd w:id="2173"/>
      <w:bookmarkEnd w:id="2174"/>
      <w:bookmarkEnd w:id="2175"/>
      <w:bookmarkEnd w:id="2176"/>
      <w:bookmarkEnd w:id="2177"/>
      <w:bookmarkEnd w:id="2178"/>
    </w:p>
    <w:p w14:paraId="09E3BDF2">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14.1.1除专用合同条件中另有约定外，本合同为总价合同，除根据第13条[变更与调整]，以及合同中其它相关增减金额的约定进行调整外，合同价格不做调整。</w:t>
      </w:r>
    </w:p>
    <w:p w14:paraId="6A7BB2E2">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14.1.2除专用合同条件另有约定外：</w:t>
      </w:r>
    </w:p>
    <w:p w14:paraId="09A5CC0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（1）工程款的支付应以合同协议书约定的签约合同价格为基础，按照合同约定进行调整；</w:t>
      </w:r>
    </w:p>
    <w:p w14:paraId="33F1AC5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（2）承包人应支付根据法律规定或合同约定应由其支付的各项税费，除第13.7款[法律变化引起的调整]约定外，合同价格不应因任何这些税费进行调整；</w:t>
      </w:r>
    </w:p>
    <w:p w14:paraId="098A5C0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6966EB2E">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14.1.3合同约定工程的某部分按照实际完成的工程量进行支付的，应按照专用合同条件的约定进行计量和估价，并据此调整合同价格。</w:t>
      </w:r>
    </w:p>
    <w:p w14:paraId="776FD9EE">
      <w:pPr>
        <w:widowControl/>
        <w:wordWrap w:val="0"/>
        <w:topLinePunct/>
        <w:adjustRightInd w:val="0"/>
        <w:snapToGrid w:val="0"/>
        <w:spacing w:after="163" w:afterLines="50" w:line="360" w:lineRule="auto"/>
        <w:outlineLvl w:val="2"/>
        <w:rPr>
          <w:rFonts w:ascii="宋体" w:hAnsi="宋体" w:cs="宋体"/>
          <w:color w:val="auto"/>
          <w:highlight w:val="none"/>
        </w:rPr>
      </w:pPr>
      <w:bookmarkStart w:id="2179" w:name="_Toc20171834"/>
      <w:bookmarkEnd w:id="2179"/>
      <w:bookmarkStart w:id="2180" w:name="_Ref531956884"/>
      <w:bookmarkEnd w:id="2180"/>
      <w:bookmarkStart w:id="2181" w:name="_Ref531956881"/>
      <w:bookmarkStart w:id="2182" w:name="_Toc170932553"/>
      <w:bookmarkStart w:id="2183" w:name="_Toc51766686"/>
      <w:bookmarkStart w:id="2184" w:name="_Toc84930822"/>
      <w:bookmarkStart w:id="2185" w:name="_Toc27387"/>
      <w:bookmarkStart w:id="2186" w:name="_Toc22705"/>
      <w:bookmarkStart w:id="2187" w:name="_Toc58860273"/>
      <w:bookmarkStart w:id="2188" w:name="_Toc24425"/>
      <w:bookmarkStart w:id="2189" w:name="_Toc28221"/>
      <w:r>
        <w:rPr>
          <w:rFonts w:hint="eastAsia" w:ascii="宋体" w:hAnsi="宋体" w:cs="宋体"/>
          <w:color w:val="auto"/>
          <w:szCs w:val="21"/>
          <w:highlight w:val="none"/>
          <w:lang w:bidi="ar"/>
        </w:rPr>
        <w:t>1</w:t>
      </w:r>
      <w:bookmarkEnd w:id="2181"/>
      <w:r>
        <w:rPr>
          <w:rFonts w:hint="eastAsia" w:ascii="宋体" w:hAnsi="宋体" w:cs="宋体"/>
          <w:color w:val="auto"/>
          <w:szCs w:val="21"/>
          <w:highlight w:val="none"/>
          <w:lang w:bidi="ar"/>
        </w:rPr>
        <w:t>4.2  预付款</w:t>
      </w:r>
      <w:bookmarkEnd w:id="2182"/>
      <w:bookmarkEnd w:id="2183"/>
      <w:bookmarkEnd w:id="2184"/>
      <w:bookmarkEnd w:id="2185"/>
      <w:bookmarkEnd w:id="2186"/>
      <w:bookmarkEnd w:id="2187"/>
      <w:bookmarkEnd w:id="2188"/>
      <w:bookmarkEnd w:id="2189"/>
    </w:p>
    <w:p w14:paraId="5113D57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190" w:name="_Ref531956894"/>
      <w:bookmarkEnd w:id="2190"/>
      <w:bookmarkStart w:id="2191" w:name="_Ref4623383"/>
      <w:r>
        <w:rPr>
          <w:rFonts w:hint="eastAsia" w:ascii="宋体" w:hAnsi="宋体" w:cs="宋体"/>
          <w:color w:val="auto"/>
          <w:szCs w:val="21"/>
          <w:highlight w:val="none"/>
          <w:lang w:bidi="ar"/>
        </w:rPr>
        <w:t>1</w:t>
      </w:r>
      <w:bookmarkEnd w:id="2191"/>
      <w:r>
        <w:rPr>
          <w:rFonts w:hint="eastAsia" w:ascii="宋体" w:hAnsi="宋体" w:cs="宋体"/>
          <w:color w:val="auto"/>
          <w:szCs w:val="21"/>
          <w:highlight w:val="none"/>
          <w:lang w:bidi="ar"/>
        </w:rPr>
        <w:t>4.2.1预付款支付</w:t>
      </w:r>
    </w:p>
    <w:p w14:paraId="47C0100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预付款的额度和支付按照专用合同条件约定执行。预付款应当专用于承包人为合同工程的设计和工程实施购置材料、工程设备、施工设备、修建临时设施以及组织施工队伍进场等合同工作。</w:t>
      </w:r>
    </w:p>
    <w:p w14:paraId="2B0DB7C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除专用合同条件另有约定外，预付款在进度付款中同比例扣回。在颁发工程接收证书前，提前解除合同的，尚未扣完的预付款应与合同价款一并结算。</w:t>
      </w:r>
    </w:p>
    <w:p w14:paraId="1150F20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发包人逾期支付预付款超过7天的，承包人有权向发包人发出要求预付的催告通知，发包人收到通知后7天内仍未支付的，承包人有权暂停施工，并按第1</w:t>
      </w:r>
      <w:r>
        <w:rPr>
          <w:rFonts w:ascii="宋体" w:hAnsi="宋体" w:cs="宋体"/>
          <w:color w:val="auto"/>
          <w:kern w:val="0"/>
          <w:szCs w:val="21"/>
          <w:highlight w:val="none"/>
          <w:lang w:bidi="ar"/>
        </w:rPr>
        <w:t>5</w:t>
      </w:r>
      <w:r>
        <w:rPr>
          <w:rFonts w:hint="eastAsia" w:ascii="宋体" w:hAnsi="宋体" w:cs="宋体"/>
          <w:color w:val="auto"/>
          <w:kern w:val="0"/>
          <w:szCs w:val="21"/>
          <w:highlight w:val="none"/>
          <w:lang w:bidi="ar"/>
        </w:rPr>
        <w:t>.1.1项[发包人违约的情形]执行。</w:t>
      </w:r>
    </w:p>
    <w:p w14:paraId="7E5BDEF1">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192" w:name="_Ref4797624"/>
      <w:bookmarkEnd w:id="2192"/>
      <w:bookmarkStart w:id="2193" w:name="_Ref531956907"/>
      <w:r>
        <w:rPr>
          <w:rFonts w:hint="eastAsia" w:ascii="宋体" w:hAnsi="宋体" w:cs="宋体"/>
          <w:color w:val="auto"/>
          <w:szCs w:val="21"/>
          <w:highlight w:val="none"/>
          <w:lang w:bidi="ar"/>
        </w:rPr>
        <w:t>1</w:t>
      </w:r>
      <w:bookmarkEnd w:id="2193"/>
      <w:r>
        <w:rPr>
          <w:rFonts w:hint="eastAsia" w:ascii="宋体" w:hAnsi="宋体" w:cs="宋体"/>
          <w:color w:val="auto"/>
          <w:szCs w:val="21"/>
          <w:highlight w:val="none"/>
          <w:lang w:bidi="ar"/>
        </w:rPr>
        <w:t>4.2.2预付款担保</w:t>
      </w:r>
    </w:p>
    <w:p w14:paraId="1473A63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21BEB0C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发包人在工程款中逐期扣回预付款后，预付款担保额度应相应减少，但剩余的预付款担保金额不得低于未被扣回的预付款金额。</w:t>
      </w:r>
    </w:p>
    <w:p w14:paraId="1932799C">
      <w:pPr>
        <w:widowControl/>
        <w:wordWrap w:val="0"/>
        <w:topLinePunct/>
        <w:adjustRightInd w:val="0"/>
        <w:snapToGrid w:val="0"/>
        <w:spacing w:after="163" w:afterLines="50" w:line="360" w:lineRule="auto"/>
        <w:outlineLvl w:val="2"/>
        <w:rPr>
          <w:rFonts w:ascii="宋体" w:hAnsi="宋体" w:cs="宋体"/>
          <w:color w:val="auto"/>
          <w:highlight w:val="none"/>
        </w:rPr>
      </w:pPr>
      <w:bookmarkStart w:id="2194" w:name="_Toc4784195"/>
      <w:bookmarkEnd w:id="2194"/>
      <w:bookmarkStart w:id="2195" w:name="_Toc20171835"/>
      <w:bookmarkEnd w:id="2195"/>
      <w:bookmarkStart w:id="2196" w:name="_Ref531956963"/>
      <w:bookmarkEnd w:id="2196"/>
      <w:bookmarkStart w:id="2197" w:name="_Toc4784193"/>
      <w:bookmarkEnd w:id="2197"/>
      <w:bookmarkStart w:id="2198" w:name="_Ref531956967"/>
      <w:bookmarkEnd w:id="2198"/>
      <w:bookmarkStart w:id="2199" w:name="_Ref4623398"/>
      <w:bookmarkEnd w:id="2199"/>
      <w:bookmarkStart w:id="2200" w:name="_Toc4784194"/>
      <w:bookmarkStart w:id="2201" w:name="_Toc51766687"/>
      <w:bookmarkStart w:id="2202" w:name="_Toc28313"/>
      <w:bookmarkStart w:id="2203" w:name="_Toc58860274"/>
      <w:bookmarkStart w:id="2204" w:name="_Toc29756"/>
      <w:bookmarkStart w:id="2205" w:name="_Toc84930823"/>
      <w:bookmarkStart w:id="2206" w:name="_Toc28269"/>
      <w:bookmarkStart w:id="2207" w:name="_Toc24350"/>
      <w:bookmarkStart w:id="2208" w:name="_Toc170932554"/>
      <w:r>
        <w:rPr>
          <w:rFonts w:hint="eastAsia" w:ascii="宋体" w:hAnsi="宋体" w:cs="宋体"/>
          <w:color w:val="auto"/>
          <w:szCs w:val="21"/>
          <w:highlight w:val="none"/>
          <w:lang w:bidi="ar"/>
        </w:rPr>
        <w:t>1</w:t>
      </w:r>
      <w:bookmarkEnd w:id="2200"/>
      <w:r>
        <w:rPr>
          <w:rFonts w:hint="eastAsia" w:ascii="宋体" w:hAnsi="宋体" w:cs="宋体"/>
          <w:color w:val="auto"/>
          <w:szCs w:val="21"/>
          <w:highlight w:val="none"/>
          <w:lang w:bidi="ar"/>
        </w:rPr>
        <w:t>4.3  工程进度款</w:t>
      </w:r>
      <w:bookmarkEnd w:id="2201"/>
      <w:bookmarkEnd w:id="2202"/>
      <w:bookmarkEnd w:id="2203"/>
      <w:bookmarkEnd w:id="2204"/>
      <w:bookmarkEnd w:id="2205"/>
      <w:bookmarkEnd w:id="2206"/>
      <w:bookmarkEnd w:id="2207"/>
      <w:bookmarkEnd w:id="2208"/>
    </w:p>
    <w:p w14:paraId="00A71B3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09" w:name="_Ref531956987"/>
      <w:bookmarkEnd w:id="2209"/>
      <w:bookmarkStart w:id="2210" w:name="_Ref532679934"/>
      <w:r>
        <w:rPr>
          <w:rFonts w:hint="eastAsia" w:ascii="宋体" w:hAnsi="宋体" w:cs="宋体"/>
          <w:color w:val="auto"/>
          <w:szCs w:val="21"/>
          <w:highlight w:val="none"/>
          <w:lang w:bidi="ar"/>
        </w:rPr>
        <w:t>1</w:t>
      </w:r>
      <w:bookmarkEnd w:id="2210"/>
      <w:r>
        <w:rPr>
          <w:rFonts w:hint="eastAsia" w:ascii="宋体" w:hAnsi="宋体" w:cs="宋体"/>
          <w:color w:val="auto"/>
          <w:szCs w:val="21"/>
          <w:highlight w:val="none"/>
          <w:lang w:bidi="ar"/>
        </w:rPr>
        <w:t xml:space="preserve">4.3.1工程进度付款申请 </w:t>
      </w:r>
    </w:p>
    <w:p w14:paraId="200E52E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（1）人工费的申请</w:t>
      </w:r>
    </w:p>
    <w:p w14:paraId="524D41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3F7A24F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（2）除专用合同条件另有约定外，承包人应在每月月末向工程师提交进度付款申请单，该进度付款申请单应包括下列内容：</w:t>
      </w:r>
    </w:p>
    <w:p w14:paraId="7F2D6C04">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11" w:name="_Ref24496054"/>
      <w:bookmarkEnd w:id="2211"/>
      <w:r>
        <w:rPr>
          <w:rFonts w:hint="eastAsia" w:ascii="宋体" w:hAnsi="宋体" w:cs="宋体"/>
          <w:color w:val="auto"/>
          <w:kern w:val="0"/>
          <w:szCs w:val="21"/>
          <w:highlight w:val="none"/>
          <w:lang w:bidi="ar"/>
        </w:rPr>
        <w:t>1）截至本次付款周期内已完成工作对应的金额；</w:t>
      </w:r>
    </w:p>
    <w:p w14:paraId="792F69B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2）扣除依据本款第（1）目约定中已扣除的人工费金额；</w:t>
      </w:r>
    </w:p>
    <w:p w14:paraId="1D6F24D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3）根据第13条[变更与调整]应增加和扣减的变更金额；</w:t>
      </w:r>
    </w:p>
    <w:p w14:paraId="1A07A52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4）根据第14.2款[预付款]约定应支付的预付款和扣减的返还预付款；</w:t>
      </w:r>
    </w:p>
    <w:p w14:paraId="39EDA9A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5）根据第14.6.2项[质量保证金的预留]约定应预留的质量保证金金额；</w:t>
      </w:r>
    </w:p>
    <w:p w14:paraId="3557A73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6）根据第19条[索赔]应增加和扣减的索赔金额；</w:t>
      </w:r>
    </w:p>
    <w:p w14:paraId="5D683CD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7）对已签发的进度款支付证书中出现错误的修正，应在本次进度付款中支付或扣除的金额；</w:t>
      </w:r>
    </w:p>
    <w:p w14:paraId="4FAE681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8）根据合同约定应增加和扣减的其他金额。</w:t>
      </w:r>
    </w:p>
    <w:p w14:paraId="28C8269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12" w:name="_Ref531957608"/>
      <w:bookmarkEnd w:id="2212"/>
      <w:r>
        <w:rPr>
          <w:rFonts w:hint="eastAsia" w:ascii="宋体" w:hAnsi="宋体" w:cs="宋体"/>
          <w:color w:val="auto"/>
          <w:szCs w:val="21"/>
          <w:highlight w:val="none"/>
          <w:lang w:bidi="ar"/>
        </w:rPr>
        <w:t>14.3.2进度付款审核和支付</w:t>
      </w:r>
    </w:p>
    <w:p w14:paraId="356B8D4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65C0917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3F47E3E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677FD41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发包人签发进度款支付证书，不表明发包人已同意、批准或接受了承包人完成的相应部分的工作。</w:t>
      </w:r>
    </w:p>
    <w:p w14:paraId="2BA26D20">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13" w:name="_Ref531957023"/>
      <w:bookmarkEnd w:id="2213"/>
      <w:r>
        <w:rPr>
          <w:rFonts w:hint="eastAsia" w:ascii="宋体" w:hAnsi="宋体" w:cs="宋体"/>
          <w:color w:val="auto"/>
          <w:szCs w:val="21"/>
          <w:highlight w:val="none"/>
          <w:lang w:bidi="ar"/>
        </w:rPr>
        <w:t>14.3.3进度付款的修正</w:t>
      </w:r>
    </w:p>
    <w:p w14:paraId="37A0F5C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在对已签发的进度款支付证书进行阶段汇总和复核中发现错误、遗漏或重复的，发包人和承包人均有权提出修正申请。经发包人和承包人同意的修正，应在下期进度付款中支付或扣除。</w:t>
      </w:r>
    </w:p>
    <w:p w14:paraId="6BF72702">
      <w:pPr>
        <w:widowControl/>
        <w:wordWrap w:val="0"/>
        <w:topLinePunct/>
        <w:adjustRightInd w:val="0"/>
        <w:snapToGrid w:val="0"/>
        <w:spacing w:after="163" w:afterLines="50" w:line="360" w:lineRule="auto"/>
        <w:outlineLvl w:val="2"/>
        <w:rPr>
          <w:rFonts w:ascii="宋体" w:hAnsi="宋体" w:cs="宋体"/>
          <w:color w:val="auto"/>
          <w:highlight w:val="none"/>
        </w:rPr>
      </w:pPr>
      <w:bookmarkStart w:id="2214" w:name="_Ref536647822"/>
      <w:bookmarkEnd w:id="2214"/>
      <w:bookmarkStart w:id="2215" w:name="_Toc20171836"/>
      <w:bookmarkEnd w:id="2215"/>
      <w:bookmarkStart w:id="2216" w:name="_Ref4538578"/>
      <w:bookmarkEnd w:id="2216"/>
      <w:bookmarkStart w:id="2217" w:name="_Ref536647814"/>
      <w:bookmarkStart w:id="2218" w:name="_Toc170932555"/>
      <w:bookmarkStart w:id="2219" w:name="_Toc8292"/>
      <w:bookmarkStart w:id="2220" w:name="_Toc51766688"/>
      <w:bookmarkStart w:id="2221" w:name="_Toc84930824"/>
      <w:bookmarkStart w:id="2222" w:name="_Toc9740"/>
      <w:bookmarkStart w:id="2223" w:name="_Toc58860275"/>
      <w:bookmarkStart w:id="2224" w:name="_Toc22414"/>
      <w:bookmarkStart w:id="2225" w:name="_Toc870"/>
      <w:r>
        <w:rPr>
          <w:rFonts w:hint="eastAsia" w:ascii="宋体" w:hAnsi="宋体" w:cs="宋体"/>
          <w:color w:val="auto"/>
          <w:szCs w:val="21"/>
          <w:highlight w:val="none"/>
          <w:lang w:bidi="ar"/>
        </w:rPr>
        <w:t>1</w:t>
      </w:r>
      <w:bookmarkEnd w:id="2217"/>
      <w:r>
        <w:rPr>
          <w:rFonts w:hint="eastAsia" w:ascii="宋体" w:hAnsi="宋体" w:cs="宋体"/>
          <w:color w:val="auto"/>
          <w:szCs w:val="21"/>
          <w:highlight w:val="none"/>
          <w:lang w:bidi="ar"/>
        </w:rPr>
        <w:t>4.4  付款计划表</w:t>
      </w:r>
      <w:bookmarkEnd w:id="2218"/>
      <w:bookmarkEnd w:id="2219"/>
      <w:bookmarkEnd w:id="2220"/>
      <w:bookmarkEnd w:id="2221"/>
      <w:bookmarkEnd w:id="2222"/>
      <w:bookmarkEnd w:id="2223"/>
      <w:bookmarkEnd w:id="2224"/>
      <w:bookmarkEnd w:id="2225"/>
    </w:p>
    <w:p w14:paraId="34E50A9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26" w:name="_Ref4570974"/>
      <w:bookmarkEnd w:id="2226"/>
      <w:r>
        <w:rPr>
          <w:rFonts w:hint="eastAsia" w:ascii="宋体" w:hAnsi="宋体" w:cs="宋体"/>
          <w:color w:val="auto"/>
          <w:szCs w:val="21"/>
          <w:highlight w:val="none"/>
          <w:lang w:bidi="ar"/>
        </w:rPr>
        <w:t>14.4.1付款计划表的编制要求</w:t>
      </w:r>
    </w:p>
    <w:p w14:paraId="004350F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除专用合同条件另有约定外，付款计划表按如下要求编制：</w:t>
      </w:r>
    </w:p>
    <w:p w14:paraId="527DD9D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（1）付款计划表中所列的每期付款金额，应为第14.3.1项[工程进度付款申请]每期进度款的估算金额；</w:t>
      </w:r>
    </w:p>
    <w:p w14:paraId="0CF9694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（2）实际进度与项目进度计划不一致的，合同当事人可按照第3.6款[商定或确定]修改付款计划表；</w:t>
      </w:r>
    </w:p>
    <w:p w14:paraId="21772C6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（3）不采用付款计划表的，承包人应向工程师提交按季度编制的支付估算付款计划表，用于支付参考。</w:t>
      </w:r>
    </w:p>
    <w:p w14:paraId="336FE52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27" w:name="_Ref4571011"/>
      <w:bookmarkEnd w:id="2227"/>
      <w:r>
        <w:rPr>
          <w:rFonts w:hint="eastAsia" w:ascii="宋体" w:hAnsi="宋体" w:cs="宋体"/>
          <w:color w:val="auto"/>
          <w:szCs w:val="21"/>
          <w:highlight w:val="none"/>
          <w:lang w:bidi="ar"/>
        </w:rPr>
        <w:t>14.4.2付款计划表的编制与审批</w:t>
      </w:r>
    </w:p>
    <w:p w14:paraId="2F164FD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7A3015A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（2）工程师应在收到付款计划表后7天内完成审核并报送发包人。发包人应在收到经工程师审核的付款计划表后7天内完成审批，经发包人批准的付款计划表为有约束力的付款计划表。</w:t>
      </w:r>
    </w:p>
    <w:p w14:paraId="5B45BE9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（3）发包人逾期未完成付款计划表审批的，也未及时要求承包人进行修正和提供补充资料的，则承包人提交的付款计划表视为已经获得发包人批准。</w:t>
      </w:r>
    </w:p>
    <w:p w14:paraId="1C25D64D">
      <w:pPr>
        <w:widowControl/>
        <w:wordWrap w:val="0"/>
        <w:topLinePunct/>
        <w:adjustRightInd w:val="0"/>
        <w:snapToGrid w:val="0"/>
        <w:spacing w:after="163" w:afterLines="50" w:line="360" w:lineRule="auto"/>
        <w:outlineLvl w:val="2"/>
        <w:rPr>
          <w:rFonts w:ascii="宋体" w:hAnsi="宋体" w:cs="宋体"/>
          <w:color w:val="auto"/>
          <w:highlight w:val="none"/>
        </w:rPr>
      </w:pPr>
      <w:bookmarkStart w:id="2228" w:name="_Ref4538634"/>
      <w:bookmarkEnd w:id="2228"/>
      <w:bookmarkStart w:id="2229" w:name="_Toc20171837"/>
      <w:bookmarkStart w:id="2230" w:name="_Toc51766689"/>
      <w:bookmarkStart w:id="2231" w:name="_Toc20547"/>
      <w:bookmarkStart w:id="2232" w:name="_Toc20393"/>
      <w:bookmarkStart w:id="2233" w:name="_Toc12185"/>
      <w:bookmarkStart w:id="2234" w:name="_Toc58860276"/>
      <w:bookmarkStart w:id="2235" w:name="_Toc170932556"/>
      <w:bookmarkStart w:id="2236" w:name="_Toc84930825"/>
      <w:bookmarkStart w:id="2237" w:name="_Toc12167"/>
      <w:r>
        <w:rPr>
          <w:rFonts w:hint="eastAsia" w:ascii="宋体" w:hAnsi="宋体" w:cs="宋体"/>
          <w:color w:val="auto"/>
          <w:szCs w:val="21"/>
          <w:highlight w:val="none"/>
          <w:lang w:bidi="ar"/>
        </w:rPr>
        <w:t xml:space="preserve">14.5 </w:t>
      </w:r>
      <w:bookmarkEnd w:id="2229"/>
      <w:r>
        <w:rPr>
          <w:rFonts w:hint="eastAsia" w:ascii="宋体" w:hAnsi="宋体" w:cs="宋体"/>
          <w:color w:val="auto"/>
          <w:szCs w:val="21"/>
          <w:highlight w:val="none"/>
          <w:lang w:bidi="ar"/>
        </w:rPr>
        <w:t xml:space="preserve"> 竣工结算</w:t>
      </w:r>
      <w:bookmarkEnd w:id="2230"/>
      <w:bookmarkEnd w:id="2231"/>
      <w:bookmarkEnd w:id="2232"/>
      <w:bookmarkEnd w:id="2233"/>
      <w:bookmarkEnd w:id="2234"/>
      <w:bookmarkEnd w:id="2235"/>
      <w:bookmarkEnd w:id="2236"/>
      <w:bookmarkEnd w:id="2237"/>
    </w:p>
    <w:p w14:paraId="15C0AC94">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38" w:name="_Ref4571361"/>
      <w:bookmarkEnd w:id="2238"/>
      <w:r>
        <w:rPr>
          <w:rFonts w:hint="eastAsia" w:ascii="宋体" w:hAnsi="宋体" w:cs="宋体"/>
          <w:color w:val="auto"/>
          <w:szCs w:val="21"/>
          <w:highlight w:val="none"/>
          <w:lang w:bidi="ar"/>
        </w:rPr>
        <w:t>14.5.1竣工结算申请</w:t>
      </w:r>
    </w:p>
    <w:p w14:paraId="0E32B5E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1D7E827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除专用合同条件另有约定外，竣工结算申请单应包括以下内容：</w:t>
      </w:r>
    </w:p>
    <w:p w14:paraId="0F30A56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（1）竣工结算合同价格；</w:t>
      </w:r>
    </w:p>
    <w:p w14:paraId="657A924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（2）发包人已支付承包人的款项；</w:t>
      </w:r>
    </w:p>
    <w:p w14:paraId="50C6F73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0CE6588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（4）发包人应支付承包人的合同价款。</w:t>
      </w:r>
    </w:p>
    <w:p w14:paraId="1BB4874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39" w:name="_Ref4571384"/>
      <w:bookmarkEnd w:id="2239"/>
      <w:r>
        <w:rPr>
          <w:rFonts w:hint="eastAsia" w:ascii="宋体" w:hAnsi="宋体" w:cs="宋体"/>
          <w:color w:val="auto"/>
          <w:szCs w:val="21"/>
          <w:highlight w:val="none"/>
          <w:lang w:bidi="ar"/>
        </w:rPr>
        <w:t>14.5.2竣工结算审核</w:t>
      </w:r>
    </w:p>
    <w:p w14:paraId="3679542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1A31DEE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D96EBE7">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40" w:name="_Ref4618006"/>
      <w:bookmarkEnd w:id="2240"/>
      <w:r>
        <w:rPr>
          <w:rFonts w:hint="eastAsia" w:ascii="宋体" w:hAnsi="宋体" w:cs="宋体"/>
          <w:color w:val="auto"/>
          <w:kern w:val="0"/>
          <w:szCs w:val="21"/>
          <w:highlight w:val="none"/>
          <w:lang w:bidi="ar"/>
        </w:rPr>
        <w:t>（2）除专用合同条件另有约定外，发包人应在签发竣工付款证书后的14天内，完成对承包人的竣工付款。发包人逾期支付的，按照贷款市场报价利率（LPR）支付利息；逾期支付超过56天的，按照贷款市场报价利率（LPR）的两倍支付利息。</w:t>
      </w:r>
    </w:p>
    <w:p w14:paraId="563F275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0174BC6E">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41" w:name="_Ref15484305"/>
      <w:bookmarkEnd w:id="2241"/>
      <w:r>
        <w:rPr>
          <w:rFonts w:hint="eastAsia" w:ascii="宋体" w:hAnsi="宋体" w:cs="宋体"/>
          <w:color w:val="auto"/>
          <w:szCs w:val="21"/>
          <w:highlight w:val="none"/>
          <w:lang w:bidi="ar"/>
        </w:rPr>
        <w:t>14.5.3扫尾工作清单</w:t>
      </w:r>
    </w:p>
    <w:p w14:paraId="487E28D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经双方协商，部分工作在工程竣工验收后进行的，承包人应当编制扫尾工作清单，扫尾工作清单中应当列明承包人应当完成的扫尾工作的内容及完成时间。</w:t>
      </w:r>
    </w:p>
    <w:p w14:paraId="0306F1F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承包人完成扫尾工作清单中的内容应取得的费用包含在第14.5.1项[竣工结算申请]及第14.5.2项[竣工结算审核]中一并结算。</w:t>
      </w:r>
    </w:p>
    <w:p w14:paraId="708CA0F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扫尾工作的缺陷责任期按第11条[缺陷责任与保修]处理。承包人未能按照扫尾工作清单约定的完成时间完成扫尾工作的，视为承包人原因导致的工程质量缺陷按照第11.3款[缺陷调查]处理。</w:t>
      </w:r>
    </w:p>
    <w:p w14:paraId="01BC0C0E">
      <w:pPr>
        <w:widowControl/>
        <w:wordWrap w:val="0"/>
        <w:topLinePunct/>
        <w:adjustRightInd w:val="0"/>
        <w:snapToGrid w:val="0"/>
        <w:spacing w:after="163" w:afterLines="50" w:line="360" w:lineRule="auto"/>
        <w:outlineLvl w:val="2"/>
        <w:rPr>
          <w:rFonts w:ascii="宋体" w:hAnsi="宋体" w:cs="宋体"/>
          <w:color w:val="auto"/>
          <w:highlight w:val="none"/>
        </w:rPr>
      </w:pPr>
      <w:bookmarkStart w:id="2242" w:name="_Ref15395020"/>
      <w:bookmarkEnd w:id="2242"/>
      <w:bookmarkStart w:id="2243" w:name="_Ref4571100"/>
      <w:bookmarkEnd w:id="2243"/>
      <w:bookmarkStart w:id="2244" w:name="_Hlk15394931"/>
      <w:bookmarkEnd w:id="2244"/>
      <w:bookmarkStart w:id="2245" w:name="_Ref4617582"/>
      <w:bookmarkEnd w:id="2245"/>
      <w:bookmarkStart w:id="2246" w:name="_Ref4582115"/>
      <w:bookmarkEnd w:id="2246"/>
      <w:bookmarkStart w:id="2247" w:name="_Toc20171838"/>
      <w:bookmarkEnd w:id="2247"/>
      <w:bookmarkStart w:id="2248" w:name="_Ref4617592"/>
      <w:bookmarkEnd w:id="2248"/>
      <w:bookmarkStart w:id="2249" w:name="_Ref4571127"/>
      <w:bookmarkStart w:id="2250" w:name="_Toc16211"/>
      <w:bookmarkStart w:id="2251" w:name="_Toc51766690"/>
      <w:bookmarkStart w:id="2252" w:name="_Toc170932557"/>
      <w:bookmarkStart w:id="2253" w:name="_Toc84930826"/>
      <w:bookmarkStart w:id="2254" w:name="_Toc5798"/>
      <w:bookmarkStart w:id="2255" w:name="_Toc15270"/>
      <w:bookmarkStart w:id="2256" w:name="_Toc58860277"/>
      <w:r>
        <w:rPr>
          <w:rFonts w:hint="eastAsia" w:ascii="宋体" w:hAnsi="宋体" w:cs="宋体"/>
          <w:color w:val="auto"/>
          <w:szCs w:val="21"/>
          <w:highlight w:val="none"/>
          <w:lang w:bidi="ar"/>
        </w:rPr>
        <w:t>1</w:t>
      </w:r>
      <w:bookmarkEnd w:id="2249"/>
      <w:r>
        <w:rPr>
          <w:rFonts w:hint="eastAsia" w:ascii="宋体" w:hAnsi="宋体" w:cs="宋体"/>
          <w:color w:val="auto"/>
          <w:szCs w:val="21"/>
          <w:highlight w:val="none"/>
          <w:lang w:bidi="ar"/>
        </w:rPr>
        <w:t>4.6  质量保证金</w:t>
      </w:r>
      <w:bookmarkEnd w:id="2250"/>
      <w:bookmarkEnd w:id="2251"/>
      <w:bookmarkEnd w:id="2252"/>
      <w:bookmarkEnd w:id="2253"/>
      <w:bookmarkEnd w:id="2254"/>
      <w:bookmarkEnd w:id="2255"/>
      <w:bookmarkEnd w:id="2256"/>
      <w:r>
        <w:rPr>
          <w:rFonts w:hint="eastAsia" w:ascii="宋体" w:hAnsi="宋体" w:cs="宋体"/>
          <w:color w:val="auto"/>
          <w:szCs w:val="21"/>
          <w:highlight w:val="none"/>
          <w:lang w:bidi="ar"/>
        </w:rPr>
        <w:t xml:space="preserve"> </w:t>
      </w:r>
    </w:p>
    <w:p w14:paraId="57EE3BB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经合同当事人协商一致提供质量保证金的，应在专用合同条件中予以明确。在工程项目竣工前，承包人已经提供履约担保的，发包人不得同时要求承包人提供质量保证金。</w:t>
      </w:r>
    </w:p>
    <w:p w14:paraId="4ACD3C06">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57" w:name="_Ref531955069"/>
      <w:bookmarkEnd w:id="2257"/>
      <w:bookmarkStart w:id="2258" w:name="_Ref531957153"/>
      <w:r>
        <w:rPr>
          <w:rFonts w:hint="eastAsia" w:ascii="宋体" w:hAnsi="宋体" w:cs="宋体"/>
          <w:color w:val="auto"/>
          <w:szCs w:val="21"/>
          <w:highlight w:val="none"/>
          <w:lang w:bidi="ar"/>
        </w:rPr>
        <w:t>1</w:t>
      </w:r>
      <w:bookmarkEnd w:id="2258"/>
      <w:r>
        <w:rPr>
          <w:rFonts w:hint="eastAsia" w:ascii="宋体" w:hAnsi="宋体" w:cs="宋体"/>
          <w:color w:val="auto"/>
          <w:szCs w:val="21"/>
          <w:highlight w:val="none"/>
          <w:lang w:bidi="ar"/>
        </w:rPr>
        <w:t>4.6.1承包人提供质量保证金的方式</w:t>
      </w:r>
    </w:p>
    <w:p w14:paraId="68A023E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承包人提供质量保证金有以下三种方式：</w:t>
      </w:r>
    </w:p>
    <w:p w14:paraId="43BA67F5">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59" w:name="_Ref531955096"/>
      <w:bookmarkEnd w:id="2259"/>
      <w:r>
        <w:rPr>
          <w:rFonts w:hint="eastAsia" w:ascii="宋体" w:hAnsi="宋体" w:cs="宋体"/>
          <w:color w:val="auto"/>
          <w:kern w:val="0"/>
          <w:szCs w:val="21"/>
          <w:highlight w:val="none"/>
          <w:lang w:bidi="ar"/>
        </w:rPr>
        <w:t>（1）提交工程质量保证担保；</w:t>
      </w:r>
    </w:p>
    <w:p w14:paraId="27BBA0AF">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60" w:name="_Ref531955107"/>
      <w:bookmarkEnd w:id="2260"/>
      <w:r>
        <w:rPr>
          <w:rFonts w:hint="eastAsia" w:ascii="宋体" w:hAnsi="宋体" w:cs="宋体"/>
          <w:color w:val="auto"/>
          <w:kern w:val="0"/>
          <w:szCs w:val="21"/>
          <w:highlight w:val="none"/>
          <w:lang w:bidi="ar"/>
        </w:rPr>
        <w:t>（2）预留相应比例的工程款；</w:t>
      </w:r>
    </w:p>
    <w:p w14:paraId="18762C50">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61" w:name="_Ref531955117"/>
      <w:bookmarkEnd w:id="2261"/>
      <w:r>
        <w:rPr>
          <w:rFonts w:hint="eastAsia" w:ascii="宋体" w:hAnsi="宋体" w:cs="宋体"/>
          <w:color w:val="auto"/>
          <w:kern w:val="0"/>
          <w:szCs w:val="21"/>
          <w:highlight w:val="none"/>
          <w:lang w:bidi="ar"/>
        </w:rPr>
        <w:t>（3）双方约定的其他方式。</w:t>
      </w:r>
    </w:p>
    <w:p w14:paraId="261C7C9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42AF1EB0">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62" w:name="_Ref15419738"/>
      <w:bookmarkEnd w:id="2262"/>
      <w:bookmarkStart w:id="2263" w:name="_Ref18931667"/>
      <w:r>
        <w:rPr>
          <w:rFonts w:hint="eastAsia" w:ascii="宋体" w:hAnsi="宋体" w:cs="宋体"/>
          <w:color w:val="auto"/>
          <w:szCs w:val="21"/>
          <w:highlight w:val="none"/>
          <w:lang w:bidi="ar"/>
        </w:rPr>
        <w:t>1</w:t>
      </w:r>
      <w:bookmarkEnd w:id="2263"/>
      <w:r>
        <w:rPr>
          <w:rFonts w:hint="eastAsia" w:ascii="宋体" w:hAnsi="宋体" w:cs="宋体"/>
          <w:color w:val="auto"/>
          <w:szCs w:val="21"/>
          <w:highlight w:val="none"/>
          <w:lang w:bidi="ar"/>
        </w:rPr>
        <w:t>4.6.2质量保证金的预留</w:t>
      </w:r>
    </w:p>
    <w:p w14:paraId="7F89A9C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双方约定采用预留相应比例的工程款方式提供质量保证金的，质量保证金的预留有以下三种方式：</w:t>
      </w:r>
    </w:p>
    <w:p w14:paraId="7FFBD2E8">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64" w:name="_Hlk18840714"/>
      <w:bookmarkEnd w:id="2264"/>
      <w:bookmarkStart w:id="2265" w:name="_Ref531955143"/>
      <w:r>
        <w:rPr>
          <w:rFonts w:hint="eastAsia" w:ascii="宋体" w:hAnsi="宋体" w:cs="宋体"/>
          <w:color w:val="auto"/>
          <w:kern w:val="0"/>
          <w:szCs w:val="21"/>
          <w:highlight w:val="none"/>
          <w:lang w:bidi="ar"/>
        </w:rPr>
        <w:t>（1）按专用合同条件的约定在支付工程进度款时逐次预留，直至预留的质量保证金总额达到专用合同条件约定的金额或比例为止</w:t>
      </w:r>
      <w:bookmarkEnd w:id="2265"/>
      <w:r>
        <w:rPr>
          <w:rFonts w:hint="eastAsia" w:ascii="宋体" w:hAnsi="宋体" w:cs="宋体"/>
          <w:color w:val="auto"/>
          <w:kern w:val="0"/>
          <w:szCs w:val="21"/>
          <w:highlight w:val="none"/>
          <w:lang w:bidi="ar"/>
        </w:rPr>
        <w:t>。在此情形下，质量保证金的计算基数不包括预付款的支付、扣回以及价格调整的金额；</w:t>
      </w:r>
    </w:p>
    <w:p w14:paraId="06ED8203">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66" w:name="_Ref531955151"/>
      <w:bookmarkEnd w:id="2266"/>
      <w:r>
        <w:rPr>
          <w:rFonts w:hint="eastAsia" w:ascii="宋体" w:hAnsi="宋体" w:cs="宋体"/>
          <w:color w:val="auto"/>
          <w:kern w:val="0"/>
          <w:szCs w:val="21"/>
          <w:highlight w:val="none"/>
          <w:lang w:bidi="ar"/>
        </w:rPr>
        <w:t>（2）工程竣工结算时一次性预留质量保证金；</w:t>
      </w:r>
    </w:p>
    <w:p w14:paraId="1D00E6EE">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267" w:name="_Ref531955161"/>
      <w:bookmarkEnd w:id="2267"/>
      <w:r>
        <w:rPr>
          <w:rFonts w:hint="eastAsia" w:ascii="宋体" w:hAnsi="宋体" w:cs="宋体"/>
          <w:color w:val="auto"/>
          <w:kern w:val="0"/>
          <w:szCs w:val="21"/>
          <w:highlight w:val="none"/>
          <w:lang w:bidi="ar"/>
        </w:rPr>
        <w:t>（3）双方约定的其他预留方式。</w:t>
      </w:r>
    </w:p>
    <w:p w14:paraId="741E925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6A5433DC">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68" w:name="_Ref532690096"/>
      <w:bookmarkEnd w:id="2268"/>
      <w:bookmarkStart w:id="2269" w:name="_Ref4571243"/>
      <w:r>
        <w:rPr>
          <w:rFonts w:hint="eastAsia" w:ascii="宋体" w:hAnsi="宋体" w:cs="宋体"/>
          <w:color w:val="auto"/>
          <w:szCs w:val="21"/>
          <w:highlight w:val="none"/>
          <w:lang w:bidi="ar"/>
        </w:rPr>
        <w:t>1</w:t>
      </w:r>
      <w:bookmarkEnd w:id="2269"/>
      <w:r>
        <w:rPr>
          <w:rFonts w:hint="eastAsia" w:ascii="宋体" w:hAnsi="宋体" w:cs="宋体"/>
          <w:color w:val="auto"/>
          <w:szCs w:val="21"/>
          <w:highlight w:val="none"/>
          <w:lang w:bidi="ar"/>
        </w:rPr>
        <w:t>4.6.3质量保证金的返还</w:t>
      </w:r>
    </w:p>
    <w:p w14:paraId="14EBC82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缺陷责任期内，承包人认真履行合同约定的责任，缺陷责任期满，发包人根据第11.</w:t>
      </w:r>
      <w:r>
        <w:rPr>
          <w:rFonts w:ascii="宋体" w:hAnsi="宋体" w:cs="宋体"/>
          <w:color w:val="auto"/>
          <w:kern w:val="0"/>
          <w:szCs w:val="21"/>
          <w:highlight w:val="none"/>
          <w:lang w:bidi="ar"/>
        </w:rPr>
        <w:t>6</w:t>
      </w:r>
      <w:r>
        <w:rPr>
          <w:rFonts w:hint="eastAsia" w:ascii="宋体" w:hAnsi="宋体" w:cs="宋体"/>
          <w:color w:val="auto"/>
          <w:kern w:val="0"/>
          <w:szCs w:val="21"/>
          <w:highlight w:val="none"/>
          <w:lang w:bidi="ar"/>
        </w:rPr>
        <w:t>款[缺陷责任期终止证书]向承包人颁发缺陷责任期终止证书后，承包人可向发包人申请返还质量保证金。</w:t>
      </w:r>
    </w:p>
    <w:p w14:paraId="0AACAB1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7B4D5CB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发包人和承包人对质量保证金预留、返还以及工程维修质量、费用有争议的，按本合同第20条[争议解决]约定的争议和纠纷解决程序处理。</w:t>
      </w:r>
    </w:p>
    <w:p w14:paraId="7D66F2AD">
      <w:pPr>
        <w:widowControl/>
        <w:wordWrap w:val="0"/>
        <w:topLinePunct/>
        <w:adjustRightInd w:val="0"/>
        <w:snapToGrid w:val="0"/>
        <w:spacing w:after="163" w:afterLines="50" w:line="360" w:lineRule="auto"/>
        <w:outlineLvl w:val="2"/>
        <w:rPr>
          <w:rFonts w:ascii="宋体" w:hAnsi="宋体" w:cs="宋体"/>
          <w:color w:val="auto"/>
          <w:highlight w:val="none"/>
        </w:rPr>
      </w:pPr>
      <w:bookmarkStart w:id="2270" w:name="_Ref531957341"/>
      <w:bookmarkEnd w:id="2270"/>
      <w:bookmarkStart w:id="2271" w:name="_Ref531957339"/>
      <w:bookmarkEnd w:id="2271"/>
      <w:bookmarkStart w:id="2272" w:name="_Toc20171839"/>
      <w:bookmarkStart w:id="2273" w:name="_Toc84930827"/>
      <w:bookmarkStart w:id="2274" w:name="_Toc15226"/>
      <w:bookmarkStart w:id="2275" w:name="_Toc18177"/>
      <w:bookmarkStart w:id="2276" w:name="_Toc19146"/>
      <w:bookmarkStart w:id="2277" w:name="_Toc170932558"/>
      <w:bookmarkStart w:id="2278" w:name="_Toc51766691"/>
      <w:bookmarkStart w:id="2279" w:name="_Toc58860278"/>
      <w:bookmarkStart w:id="2280" w:name="_Toc19556"/>
      <w:r>
        <w:rPr>
          <w:rFonts w:hint="eastAsia" w:ascii="宋体" w:hAnsi="宋体" w:cs="宋体"/>
          <w:color w:val="auto"/>
          <w:szCs w:val="21"/>
          <w:highlight w:val="none"/>
          <w:lang w:bidi="ar"/>
        </w:rPr>
        <w:t>1</w:t>
      </w:r>
      <w:bookmarkEnd w:id="2272"/>
      <w:r>
        <w:rPr>
          <w:rFonts w:hint="eastAsia" w:ascii="宋体" w:hAnsi="宋体" w:cs="宋体"/>
          <w:color w:val="auto"/>
          <w:szCs w:val="21"/>
          <w:highlight w:val="none"/>
          <w:lang w:bidi="ar"/>
        </w:rPr>
        <w:t>4.7  最终结清</w:t>
      </w:r>
      <w:bookmarkEnd w:id="2273"/>
      <w:bookmarkEnd w:id="2274"/>
      <w:bookmarkEnd w:id="2275"/>
      <w:bookmarkEnd w:id="2276"/>
      <w:bookmarkEnd w:id="2277"/>
      <w:bookmarkEnd w:id="2278"/>
      <w:bookmarkEnd w:id="2279"/>
      <w:bookmarkEnd w:id="2280"/>
      <w:r>
        <w:rPr>
          <w:rFonts w:hint="eastAsia" w:ascii="宋体" w:hAnsi="宋体" w:cs="宋体"/>
          <w:color w:val="auto"/>
          <w:szCs w:val="21"/>
          <w:highlight w:val="none"/>
          <w:lang w:bidi="ar"/>
        </w:rPr>
        <w:t xml:space="preserve"> </w:t>
      </w:r>
    </w:p>
    <w:p w14:paraId="58A55B8E">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81" w:name="_Ref531957350"/>
      <w:bookmarkEnd w:id="2281"/>
      <w:r>
        <w:rPr>
          <w:rFonts w:hint="eastAsia" w:ascii="宋体" w:hAnsi="宋体" w:cs="宋体"/>
          <w:color w:val="auto"/>
          <w:szCs w:val="21"/>
          <w:highlight w:val="none"/>
          <w:lang w:bidi="ar"/>
        </w:rPr>
        <w:t>14.7.1最终结清申请单</w:t>
      </w:r>
    </w:p>
    <w:p w14:paraId="6057F57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（1）除专用合同条件另有约定外，承包人应在缺陷责任期终止证书颁发后7天内，按专用合同条件约定的份数向发包人提交最终结清申请单，并提供相关证明材料。</w:t>
      </w:r>
    </w:p>
    <w:p w14:paraId="57CA1EB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除专用合同条件另有约定外，最终结清申请单应列明质量保证金、应扣除的质量保证金、缺陷责任期内发生的增减费用。</w:t>
      </w:r>
    </w:p>
    <w:p w14:paraId="439DE81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（2）发包人对最终结清申请单内容有异议的，有权要求承包人进行修正和提供补充资料，承包人应向发包人提交修正后的最终结清申请单。</w:t>
      </w:r>
    </w:p>
    <w:p w14:paraId="5ACD2C3B">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282" w:name="_Ref531957369"/>
      <w:bookmarkEnd w:id="2282"/>
      <w:bookmarkStart w:id="2283" w:name="_Ref4624099"/>
      <w:r>
        <w:rPr>
          <w:rFonts w:hint="eastAsia" w:ascii="宋体" w:hAnsi="宋体" w:cs="宋体"/>
          <w:color w:val="auto"/>
          <w:szCs w:val="21"/>
          <w:highlight w:val="none"/>
          <w:lang w:bidi="ar"/>
        </w:rPr>
        <w:t>14.7.2</w:t>
      </w:r>
      <w:bookmarkEnd w:id="2283"/>
      <w:r>
        <w:rPr>
          <w:rFonts w:hint="eastAsia" w:ascii="宋体" w:hAnsi="宋体" w:cs="宋体"/>
          <w:color w:val="auto"/>
          <w:szCs w:val="21"/>
          <w:highlight w:val="none"/>
          <w:lang w:bidi="ar"/>
        </w:rPr>
        <w:t>最终结清证书和支付</w:t>
      </w:r>
    </w:p>
    <w:p w14:paraId="1190447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822AF6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除专用合同条件另有约定外，发包人应在颁发最终结清证书后7天内完成支付。发包人逾期支付的，按照贷款市场报价利率（LPR）支付利息；逾期支付超过56天的，按照贷款市场报价利率（LPR）的两倍支付利息。</w:t>
      </w:r>
    </w:p>
    <w:p w14:paraId="63C5395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（3）承包人对发包人颁发的最终结清证书有异议的，按第20条[争议解决]的约定办理。</w:t>
      </w:r>
    </w:p>
    <w:p w14:paraId="17B70DD4">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284" w:name="_Ref11920396"/>
      <w:bookmarkEnd w:id="2284"/>
      <w:bookmarkStart w:id="2285" w:name="_Ref11874957"/>
      <w:bookmarkEnd w:id="2285"/>
      <w:bookmarkStart w:id="2286" w:name="_Toc20171840"/>
      <w:bookmarkEnd w:id="2286"/>
      <w:bookmarkStart w:id="2287" w:name="_Ref11920407"/>
      <w:bookmarkStart w:id="2288" w:name="_Toc24670"/>
      <w:bookmarkStart w:id="2289" w:name="_Toc170932559"/>
      <w:r>
        <w:rPr>
          <w:rFonts w:hint="eastAsia" w:ascii="宋体" w:hAnsi="宋体" w:cs="宋体"/>
          <w:color w:val="auto"/>
          <w:kern w:val="0"/>
          <w:szCs w:val="21"/>
          <w:highlight w:val="none"/>
          <w:lang w:bidi="ar"/>
        </w:rPr>
        <w:t>第1</w:t>
      </w:r>
      <w:bookmarkEnd w:id="2287"/>
      <w:r>
        <w:rPr>
          <w:rFonts w:hint="eastAsia" w:ascii="宋体" w:hAnsi="宋体" w:cs="宋体"/>
          <w:color w:val="auto"/>
          <w:kern w:val="0"/>
          <w:szCs w:val="21"/>
          <w:highlight w:val="none"/>
          <w:lang w:bidi="ar"/>
        </w:rPr>
        <w:t>5条  违约</w:t>
      </w:r>
      <w:bookmarkEnd w:id="2288"/>
      <w:bookmarkEnd w:id="2289"/>
    </w:p>
    <w:p w14:paraId="7766D9B1">
      <w:pPr>
        <w:widowControl/>
        <w:wordWrap w:val="0"/>
        <w:topLinePunct/>
        <w:adjustRightInd w:val="0"/>
        <w:snapToGrid w:val="0"/>
        <w:spacing w:after="163" w:afterLines="50" w:line="360" w:lineRule="auto"/>
        <w:outlineLvl w:val="2"/>
        <w:rPr>
          <w:rFonts w:ascii="宋体" w:hAnsi="宋体" w:cs="宋体"/>
          <w:color w:val="auto"/>
          <w:highlight w:val="none"/>
        </w:rPr>
      </w:pPr>
      <w:bookmarkStart w:id="2290" w:name="_Toc20171841"/>
      <w:bookmarkEnd w:id="2290"/>
      <w:bookmarkStart w:id="2291" w:name="_Ref4534411"/>
      <w:bookmarkEnd w:id="2291"/>
      <w:bookmarkStart w:id="2292" w:name="_Ref4534384"/>
      <w:bookmarkEnd w:id="2292"/>
      <w:bookmarkStart w:id="2293" w:name="_Ref4534376"/>
      <w:bookmarkEnd w:id="2293"/>
      <w:bookmarkStart w:id="2294" w:name="_Ref4534399"/>
      <w:bookmarkStart w:id="2295" w:name="_Toc20960"/>
      <w:bookmarkStart w:id="2296" w:name="_Toc11489"/>
      <w:bookmarkStart w:id="2297" w:name="_Toc58860280"/>
      <w:bookmarkStart w:id="2298" w:name="_Toc29161"/>
      <w:bookmarkStart w:id="2299" w:name="_Toc170932560"/>
      <w:bookmarkStart w:id="2300" w:name="_Toc84930829"/>
      <w:bookmarkStart w:id="2301" w:name="_Toc8591"/>
      <w:bookmarkStart w:id="2302" w:name="_Toc51766693"/>
      <w:r>
        <w:rPr>
          <w:rFonts w:hint="eastAsia" w:ascii="宋体" w:hAnsi="宋体" w:cs="宋体"/>
          <w:color w:val="auto"/>
          <w:szCs w:val="21"/>
          <w:highlight w:val="none"/>
          <w:lang w:bidi="ar"/>
        </w:rPr>
        <w:t>1</w:t>
      </w:r>
      <w:bookmarkEnd w:id="2294"/>
      <w:r>
        <w:rPr>
          <w:rFonts w:hint="eastAsia" w:ascii="宋体" w:hAnsi="宋体" w:cs="宋体"/>
          <w:color w:val="auto"/>
          <w:szCs w:val="21"/>
          <w:highlight w:val="none"/>
          <w:lang w:bidi="ar"/>
        </w:rPr>
        <w:t>5.1  发包人违约</w:t>
      </w:r>
      <w:bookmarkEnd w:id="2295"/>
      <w:bookmarkEnd w:id="2296"/>
      <w:bookmarkEnd w:id="2297"/>
      <w:bookmarkEnd w:id="2298"/>
      <w:bookmarkEnd w:id="2299"/>
      <w:bookmarkEnd w:id="2300"/>
      <w:bookmarkEnd w:id="2301"/>
      <w:bookmarkEnd w:id="2302"/>
    </w:p>
    <w:p w14:paraId="680D01B0">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03" w:name="_Ref3841087"/>
      <w:bookmarkEnd w:id="2303"/>
      <w:r>
        <w:rPr>
          <w:rFonts w:hint="eastAsia" w:ascii="宋体" w:hAnsi="宋体" w:cs="宋体"/>
          <w:color w:val="auto"/>
          <w:szCs w:val="21"/>
          <w:highlight w:val="none"/>
          <w:lang w:bidi="ar"/>
        </w:rPr>
        <w:t>15.1.1发包人违约的情形</w:t>
      </w:r>
    </w:p>
    <w:p w14:paraId="24BB5E8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除专用合同条件另有约定外，在合同履行过程中发生的下列情形，属于发包人违约：</w:t>
      </w:r>
    </w:p>
    <w:p w14:paraId="1AF9BB6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（1）因发包人原因导致开始工作日期延误的； </w:t>
      </w:r>
    </w:p>
    <w:p w14:paraId="6E5A5D0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（2）因发包人原因未能按合同约定支付合同价款的；</w:t>
      </w:r>
    </w:p>
    <w:p w14:paraId="758F204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（3）发包人违反第13.1.1项约定，自行实施被取消的工作或转由他人实施的；</w:t>
      </w:r>
    </w:p>
    <w:p w14:paraId="4F623DD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（4）因发包人违反合同约定造成工程暂停施工的；</w:t>
      </w:r>
    </w:p>
    <w:p w14:paraId="3EDEF9C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（5）工程师无正当理由没有在约定期限内发出复工指示，导致承包人无法复工的；</w:t>
      </w:r>
    </w:p>
    <w:p w14:paraId="73FE45F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（6）发包人明确表示或者以其行为表明不履行合同主要义务的；</w:t>
      </w:r>
    </w:p>
    <w:p w14:paraId="3D96402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（7）发包人未能按照合同约定履行其他义务的。</w:t>
      </w:r>
    </w:p>
    <w:p w14:paraId="075F12A0">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04" w:name="_Ref4535692"/>
      <w:bookmarkEnd w:id="2304"/>
      <w:r>
        <w:rPr>
          <w:rFonts w:hint="eastAsia" w:ascii="宋体" w:hAnsi="宋体" w:cs="宋体"/>
          <w:color w:val="auto"/>
          <w:szCs w:val="21"/>
          <w:highlight w:val="none"/>
          <w:lang w:bidi="ar"/>
        </w:rPr>
        <w:t>15.1.2通知改正</w:t>
      </w:r>
    </w:p>
    <w:p w14:paraId="2BCE970F">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305" w:name="_Hlk16248297"/>
      <w:bookmarkEnd w:id="2305"/>
      <w:r>
        <w:rPr>
          <w:rFonts w:hint="eastAsia" w:ascii="宋体" w:hAnsi="宋体" w:cs="宋体"/>
          <w:color w:val="auto"/>
          <w:kern w:val="0"/>
          <w:szCs w:val="21"/>
          <w:highlight w:val="none"/>
          <w:lang w:bidi="ar"/>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p>
    <w:p w14:paraId="05810AF5">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06" w:name="_Ref3841132"/>
      <w:bookmarkEnd w:id="2306"/>
      <w:r>
        <w:rPr>
          <w:rFonts w:hint="eastAsia" w:ascii="宋体" w:hAnsi="宋体" w:cs="宋体"/>
          <w:color w:val="auto"/>
          <w:szCs w:val="21"/>
          <w:highlight w:val="none"/>
          <w:lang w:bidi="ar"/>
        </w:rPr>
        <w:t>15.1.3发包人违约的责任</w:t>
      </w:r>
    </w:p>
    <w:p w14:paraId="72E2EA0C">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307" w:name="_Hlk16247984"/>
      <w:bookmarkEnd w:id="2307"/>
      <w:r>
        <w:rPr>
          <w:rFonts w:hint="eastAsia" w:ascii="宋体" w:hAnsi="宋体" w:cs="宋体"/>
          <w:color w:val="auto"/>
          <w:kern w:val="0"/>
          <w:szCs w:val="21"/>
          <w:highlight w:val="none"/>
          <w:lang w:bidi="ar"/>
        </w:rPr>
        <w:t>发包人应承担因其违约给承包人增加的费用和（或）延误的工期，并支付承包人合理的利润。此外，合同当事人可在专用合同条件中另行约定发包人违约责任的承担方式和计算方法。</w:t>
      </w:r>
    </w:p>
    <w:p w14:paraId="422C5D0A">
      <w:pPr>
        <w:widowControl/>
        <w:wordWrap w:val="0"/>
        <w:topLinePunct/>
        <w:adjustRightInd w:val="0"/>
        <w:snapToGrid w:val="0"/>
        <w:spacing w:after="163" w:afterLines="50" w:line="360" w:lineRule="auto"/>
        <w:outlineLvl w:val="2"/>
        <w:rPr>
          <w:rFonts w:ascii="宋体" w:hAnsi="宋体" w:cs="宋体"/>
          <w:color w:val="auto"/>
          <w:highlight w:val="none"/>
        </w:rPr>
      </w:pPr>
      <w:bookmarkStart w:id="2308" w:name="_Ref11958663"/>
      <w:bookmarkEnd w:id="2308"/>
      <w:bookmarkStart w:id="2309" w:name="_Ref11958660"/>
      <w:bookmarkEnd w:id="2309"/>
      <w:bookmarkStart w:id="2310" w:name="_Toc20171842"/>
      <w:bookmarkStart w:id="2311" w:name="_Toc15959"/>
      <w:bookmarkStart w:id="2312" w:name="_Toc58860281"/>
      <w:bookmarkStart w:id="2313" w:name="_Toc84930830"/>
      <w:bookmarkStart w:id="2314" w:name="_Toc6117"/>
      <w:bookmarkStart w:id="2315" w:name="_Toc25308"/>
      <w:bookmarkStart w:id="2316" w:name="_Toc17072"/>
      <w:bookmarkStart w:id="2317" w:name="_Toc51766694"/>
      <w:bookmarkStart w:id="2318" w:name="_Toc170932561"/>
      <w:r>
        <w:rPr>
          <w:rFonts w:hint="eastAsia" w:ascii="宋体" w:hAnsi="宋体" w:cs="宋体"/>
          <w:color w:val="auto"/>
          <w:szCs w:val="21"/>
          <w:highlight w:val="none"/>
          <w:lang w:bidi="ar"/>
        </w:rPr>
        <w:t>1</w:t>
      </w:r>
      <w:bookmarkEnd w:id="2310"/>
      <w:r>
        <w:rPr>
          <w:rFonts w:hint="eastAsia" w:ascii="宋体" w:hAnsi="宋体" w:cs="宋体"/>
          <w:color w:val="auto"/>
          <w:szCs w:val="21"/>
          <w:highlight w:val="none"/>
          <w:lang w:bidi="ar"/>
        </w:rPr>
        <w:t>5.2  承包人违约</w:t>
      </w:r>
      <w:bookmarkEnd w:id="2311"/>
      <w:bookmarkEnd w:id="2312"/>
      <w:bookmarkEnd w:id="2313"/>
      <w:bookmarkEnd w:id="2314"/>
      <w:bookmarkEnd w:id="2315"/>
      <w:bookmarkEnd w:id="2316"/>
      <w:bookmarkEnd w:id="2317"/>
      <w:bookmarkEnd w:id="2318"/>
    </w:p>
    <w:p w14:paraId="7FFA7D5C">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19" w:name="_Ref3841153"/>
      <w:bookmarkEnd w:id="2319"/>
      <w:r>
        <w:rPr>
          <w:rFonts w:hint="eastAsia" w:ascii="宋体" w:hAnsi="宋体" w:cs="宋体"/>
          <w:color w:val="auto"/>
          <w:szCs w:val="21"/>
          <w:highlight w:val="none"/>
          <w:lang w:bidi="ar"/>
        </w:rPr>
        <w:t>15.2.1承包人违约的情形</w:t>
      </w:r>
    </w:p>
    <w:p w14:paraId="12D52A0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除专用合同条件另有约定外，在履行合同过程中发生的下列情况之一的，属于承包人违约：</w:t>
      </w:r>
    </w:p>
    <w:p w14:paraId="0DD0482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（1）承包人的原因导致的承包人文件、实施和竣工的工程不符合法律法规、工程质量验收标准以及合同约定；</w:t>
      </w:r>
    </w:p>
    <w:p w14:paraId="3A19EEE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（2）承包人违反合同约定进行转包或违法分包的；</w:t>
      </w:r>
    </w:p>
    <w:p w14:paraId="38F00A7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（3）承包人违反约定采购和使用不合格材料或工程设备；</w:t>
      </w:r>
    </w:p>
    <w:p w14:paraId="1775F23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（4）因承包人原因导致工程质量不符合合同要求的；</w:t>
      </w:r>
    </w:p>
    <w:p w14:paraId="7831CFA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（5）承包人未经工程师批准，擅自将已按合同约定进入施工现场的施工设备、临时设施或材料撤离施工现场；</w:t>
      </w:r>
    </w:p>
    <w:p w14:paraId="1F845DD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（6）承包人未能按项目进度计划及时完成合同约定的工作，造成工期延误；</w:t>
      </w:r>
    </w:p>
    <w:p w14:paraId="6328B56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（7）由于承包人原因未能通过竣工试验或竣工后试验的；</w:t>
      </w:r>
    </w:p>
    <w:p w14:paraId="55D78CD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（8）承包人在缺陷责任期及保修期内，未能在合理期限对工程缺陷进行修复，或拒绝按发包人指示进行修复的；</w:t>
      </w:r>
    </w:p>
    <w:p w14:paraId="4DC695A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（9）承包人明确表示或者以其行为表明不履行合同主要义务的；</w:t>
      </w:r>
    </w:p>
    <w:p w14:paraId="5AF109D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（10）承包人未能按照合同约定履行其他义务的。</w:t>
      </w:r>
    </w:p>
    <w:p w14:paraId="5B968999">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20" w:name="_Ref531958512"/>
      <w:bookmarkEnd w:id="2320"/>
      <w:r>
        <w:rPr>
          <w:rFonts w:hint="eastAsia" w:ascii="宋体" w:hAnsi="宋体" w:cs="宋体"/>
          <w:color w:val="auto"/>
          <w:szCs w:val="21"/>
          <w:highlight w:val="none"/>
          <w:lang w:bidi="ar"/>
        </w:rPr>
        <w:t>15.2.2通知改正</w:t>
      </w:r>
    </w:p>
    <w:p w14:paraId="6E59392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承包人发生除第15.2.1项第（7）目、第（9）目约定以外的其他违约情况时，工程师可在专用合同条件约定的合理期限内向承包人发出整改通知，要求其在指定的期限内改正。</w:t>
      </w:r>
    </w:p>
    <w:p w14:paraId="3693744D">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21" w:name="_Ref3841166"/>
      <w:bookmarkEnd w:id="2321"/>
      <w:r>
        <w:rPr>
          <w:rFonts w:hint="eastAsia" w:ascii="宋体" w:hAnsi="宋体" w:cs="宋体"/>
          <w:color w:val="auto"/>
          <w:szCs w:val="21"/>
          <w:highlight w:val="none"/>
          <w:lang w:bidi="ar"/>
        </w:rPr>
        <w:t>15.2.3承包人违约的责任</w:t>
      </w:r>
    </w:p>
    <w:p w14:paraId="5F8F6FF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承包人应承担因其违约行为而增加的费用和（或）延误的工期。此外，合同当事人可在专用合同条件中另行约定承包人违约责任的承担方式和计算方法。</w:t>
      </w:r>
    </w:p>
    <w:p w14:paraId="2633473B">
      <w:pPr>
        <w:widowControl/>
        <w:wordWrap w:val="0"/>
        <w:topLinePunct/>
        <w:adjustRightInd w:val="0"/>
        <w:snapToGrid w:val="0"/>
        <w:spacing w:after="163" w:afterLines="50" w:line="360" w:lineRule="auto"/>
        <w:outlineLvl w:val="2"/>
        <w:rPr>
          <w:rFonts w:ascii="宋体" w:hAnsi="宋体" w:cs="宋体"/>
          <w:color w:val="auto"/>
          <w:highlight w:val="none"/>
        </w:rPr>
      </w:pPr>
      <w:bookmarkStart w:id="2322" w:name="_Toc20171843"/>
      <w:bookmarkEnd w:id="2322"/>
      <w:bookmarkStart w:id="2323" w:name="_Toc51766695"/>
      <w:bookmarkStart w:id="2324" w:name="_Toc170932562"/>
      <w:bookmarkStart w:id="2325" w:name="_Toc19322"/>
      <w:bookmarkStart w:id="2326" w:name="_Toc58860282"/>
      <w:bookmarkStart w:id="2327" w:name="_Toc84930831"/>
      <w:bookmarkStart w:id="2328" w:name="_Toc4049"/>
      <w:bookmarkStart w:id="2329" w:name="_Toc20847"/>
      <w:bookmarkStart w:id="2330" w:name="_Toc25029"/>
      <w:r>
        <w:rPr>
          <w:rFonts w:hint="eastAsia" w:ascii="宋体" w:hAnsi="宋体" w:cs="宋体"/>
          <w:color w:val="auto"/>
          <w:szCs w:val="21"/>
          <w:highlight w:val="none"/>
          <w:lang w:bidi="ar"/>
        </w:rPr>
        <w:t>15.3  第三人造成的违约</w:t>
      </w:r>
      <w:bookmarkEnd w:id="2323"/>
      <w:bookmarkEnd w:id="2324"/>
      <w:bookmarkEnd w:id="2325"/>
      <w:bookmarkEnd w:id="2326"/>
      <w:bookmarkEnd w:id="2327"/>
      <w:bookmarkEnd w:id="2328"/>
      <w:bookmarkEnd w:id="2329"/>
      <w:bookmarkEnd w:id="2330"/>
    </w:p>
    <w:p w14:paraId="431A851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在履行合同过程中，一方当事人因第三人的原因造成违约的，应当向对方当事人承担违约责任。一方当事人和第三人之间的纠纷，依照法律规定或者按照约定解决。</w:t>
      </w:r>
    </w:p>
    <w:p w14:paraId="620B3DB3">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331" w:name="_Ref3826629"/>
      <w:bookmarkEnd w:id="2331"/>
      <w:bookmarkStart w:id="2332" w:name="_Ref532142069"/>
      <w:bookmarkEnd w:id="2332"/>
      <w:bookmarkStart w:id="2333" w:name="_Toc20171844"/>
      <w:bookmarkEnd w:id="2333"/>
      <w:bookmarkStart w:id="2334" w:name="_Ref3840457"/>
      <w:bookmarkEnd w:id="2334"/>
      <w:bookmarkStart w:id="2335" w:name="_Ref4510572"/>
      <w:bookmarkEnd w:id="2335"/>
      <w:bookmarkStart w:id="2336" w:name="_Ref3826634"/>
      <w:bookmarkStart w:id="2337" w:name="_Toc170932563"/>
      <w:bookmarkStart w:id="2338" w:name="_Toc11677"/>
      <w:r>
        <w:rPr>
          <w:rFonts w:hint="eastAsia" w:ascii="宋体" w:hAnsi="宋体" w:cs="宋体"/>
          <w:color w:val="auto"/>
          <w:kern w:val="0"/>
          <w:szCs w:val="21"/>
          <w:highlight w:val="none"/>
          <w:lang w:bidi="ar"/>
        </w:rPr>
        <w:t>第1</w:t>
      </w:r>
      <w:bookmarkEnd w:id="2336"/>
      <w:r>
        <w:rPr>
          <w:rFonts w:hint="eastAsia" w:ascii="宋体" w:hAnsi="宋体" w:cs="宋体"/>
          <w:color w:val="auto"/>
          <w:kern w:val="0"/>
          <w:szCs w:val="21"/>
          <w:highlight w:val="none"/>
          <w:lang w:bidi="ar"/>
        </w:rPr>
        <w:t>6条  合同解除</w:t>
      </w:r>
      <w:bookmarkEnd w:id="2337"/>
      <w:bookmarkEnd w:id="2338"/>
    </w:p>
    <w:p w14:paraId="4F553332">
      <w:pPr>
        <w:widowControl/>
        <w:wordWrap w:val="0"/>
        <w:topLinePunct/>
        <w:adjustRightInd w:val="0"/>
        <w:snapToGrid w:val="0"/>
        <w:spacing w:after="163" w:afterLines="50" w:line="360" w:lineRule="auto"/>
        <w:outlineLvl w:val="2"/>
        <w:rPr>
          <w:rFonts w:ascii="宋体" w:hAnsi="宋体" w:cs="宋体"/>
          <w:color w:val="auto"/>
          <w:highlight w:val="none"/>
        </w:rPr>
      </w:pPr>
      <w:bookmarkStart w:id="2339" w:name="_Ref531958502"/>
      <w:bookmarkEnd w:id="2339"/>
      <w:bookmarkStart w:id="2340" w:name="_Ref531958499"/>
      <w:bookmarkEnd w:id="2340"/>
      <w:bookmarkStart w:id="2341" w:name="_Toc20171845"/>
      <w:bookmarkStart w:id="2342" w:name="_Toc3022"/>
      <w:bookmarkStart w:id="2343" w:name="_Toc51766697"/>
      <w:bookmarkStart w:id="2344" w:name="_Toc170932564"/>
      <w:bookmarkStart w:id="2345" w:name="_Toc26487"/>
      <w:bookmarkStart w:id="2346" w:name="_Toc30427"/>
      <w:bookmarkStart w:id="2347" w:name="_Toc6473"/>
      <w:bookmarkStart w:id="2348" w:name="_Toc84930833"/>
      <w:bookmarkStart w:id="2349" w:name="_Toc58860284"/>
      <w:r>
        <w:rPr>
          <w:rFonts w:hint="eastAsia" w:ascii="宋体" w:hAnsi="宋体" w:cs="宋体"/>
          <w:color w:val="auto"/>
          <w:szCs w:val="21"/>
          <w:highlight w:val="none"/>
          <w:lang w:bidi="ar"/>
        </w:rPr>
        <w:t>1</w:t>
      </w:r>
      <w:bookmarkEnd w:id="2341"/>
      <w:r>
        <w:rPr>
          <w:rFonts w:hint="eastAsia" w:ascii="宋体" w:hAnsi="宋体" w:cs="宋体"/>
          <w:color w:val="auto"/>
          <w:szCs w:val="21"/>
          <w:highlight w:val="none"/>
          <w:lang w:bidi="ar"/>
        </w:rPr>
        <w:t>6.1  由发包人解除合同</w:t>
      </w:r>
      <w:bookmarkEnd w:id="2342"/>
      <w:bookmarkEnd w:id="2343"/>
      <w:bookmarkEnd w:id="2344"/>
      <w:bookmarkEnd w:id="2345"/>
      <w:bookmarkEnd w:id="2346"/>
      <w:bookmarkEnd w:id="2347"/>
      <w:bookmarkEnd w:id="2348"/>
      <w:bookmarkEnd w:id="2349"/>
    </w:p>
    <w:p w14:paraId="69B8921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50" w:name="_Ref4535422"/>
      <w:bookmarkEnd w:id="2350"/>
      <w:r>
        <w:rPr>
          <w:rFonts w:hint="eastAsia" w:ascii="宋体" w:hAnsi="宋体" w:cs="宋体"/>
          <w:color w:val="auto"/>
          <w:szCs w:val="21"/>
          <w:highlight w:val="none"/>
          <w:lang w:bidi="ar"/>
        </w:rPr>
        <w:t>16.1.1因承包人违约解除合同</w:t>
      </w:r>
    </w:p>
    <w:p w14:paraId="1543892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6FD77003">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351" w:name="_Ref531958536"/>
      <w:bookmarkEnd w:id="2351"/>
      <w:r>
        <w:rPr>
          <w:rFonts w:hint="eastAsia" w:ascii="宋体" w:hAnsi="宋体" w:cs="宋体"/>
          <w:color w:val="auto"/>
          <w:kern w:val="0"/>
          <w:szCs w:val="21"/>
          <w:highlight w:val="none"/>
          <w:lang w:bidi="ar"/>
        </w:rPr>
        <w:t>（1）承包人未能遵守第4.2款[履约担保]的约定；</w:t>
      </w:r>
    </w:p>
    <w:p w14:paraId="76C6564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（2）承包人未能遵守第4.5款[分包]有关分包和转包的约定；</w:t>
      </w:r>
    </w:p>
    <w:p w14:paraId="65F6690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（3）承包人实际进度明显落后于进度计划，并且未按发包人的指令采取措施并修正进度计划；</w:t>
      </w:r>
    </w:p>
    <w:p w14:paraId="58CDF80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（4）工程质量有严重缺陷，承包人无正当理由使修复开始日期拖延达28天以上；</w:t>
      </w:r>
    </w:p>
    <w:p w14:paraId="20F0A06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4F1F469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（6）承包人明确表示或以自己的行为表明不履行合同、或经发包人以书面形式通知其履约后仍未能依约履行合同、或以不适当的方式履行合同；</w:t>
      </w:r>
    </w:p>
    <w:p w14:paraId="3DE4897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（7）未能通过的竣工试验、未能通过的竣工后试验，使工程的任何部分和（或）整个工程丧失了主要使用功能、生产功能；</w:t>
      </w:r>
    </w:p>
    <w:p w14:paraId="1C39488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（8）因承包人的原因暂停工作超过56天且暂停影响到整个工程，或因承包人的原因暂停工作超过182天；</w:t>
      </w:r>
    </w:p>
    <w:p w14:paraId="186E4D8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（9）承包人未能遵守第8.2款[竣工日期]规定，延误超过182天；</w:t>
      </w:r>
    </w:p>
    <w:p w14:paraId="1B4690A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（10）工程师根据第15.2.2项[通知改正]发出整改通知后，承包人在指定的合理期限内仍不纠正违约行为并致使合同目的不能实现的。</w:t>
      </w:r>
    </w:p>
    <w:p w14:paraId="3A0BB059">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52" w:name="_Ref3841839"/>
      <w:bookmarkEnd w:id="2352"/>
      <w:bookmarkStart w:id="2353" w:name="_Ref4624315"/>
      <w:r>
        <w:rPr>
          <w:rFonts w:hint="eastAsia" w:ascii="宋体" w:hAnsi="宋体" w:cs="宋体"/>
          <w:color w:val="auto"/>
          <w:szCs w:val="21"/>
          <w:highlight w:val="none"/>
          <w:lang w:bidi="ar"/>
        </w:rPr>
        <w:t>1</w:t>
      </w:r>
      <w:bookmarkEnd w:id="2353"/>
      <w:r>
        <w:rPr>
          <w:rFonts w:hint="eastAsia" w:ascii="宋体" w:hAnsi="宋体" w:cs="宋体"/>
          <w:color w:val="auto"/>
          <w:szCs w:val="21"/>
          <w:highlight w:val="none"/>
          <w:lang w:bidi="ar"/>
        </w:rPr>
        <w:t>6.1.2因承包人违约解除合同后承包人的义务</w:t>
      </w:r>
    </w:p>
    <w:p w14:paraId="42271D4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合同解除后，承包人应按以下约定执行：</w:t>
      </w:r>
    </w:p>
    <w:p w14:paraId="281274B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（1）除了为保护生命、财产或工程安全、清理和必须执行的工作外，停止执行所有被通知解除的工作，并将相关人员撤离现场；</w:t>
      </w:r>
    </w:p>
    <w:p w14:paraId="771E26D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（2）经发包人批准，承包人应将与被解除合同相关的和正在执行的分包合同及相关的责任和义务转让至发包人和（或）发包人指定方的名下，包括永久性工程及工程物资，以及相关工作；</w:t>
      </w:r>
    </w:p>
    <w:p w14:paraId="5455CC6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（3）移交已完成的永久性工程及负责已运抵现场的工程物资。在移交前，妥善做好己完工程和已运抵现场的工程物资的保管、维护和保养；</w:t>
      </w:r>
    </w:p>
    <w:p w14:paraId="606EB70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（4）将发包人提供的所有信息及承包人为本工程编制的设计文件、技术资料及其它文件移交给发包人。在承包人留有的资料文件中，销毁与发包人提供的所有信息相关的数据及资料的备份；</w:t>
      </w:r>
    </w:p>
    <w:p w14:paraId="6B2ADC0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（5）移交相应实施阶段已经付款的并已完成的和尚待完成的设计文件、图纸、资料、操作维修手册、施工组织设计、质检资料、竣工资料等；</w:t>
      </w:r>
    </w:p>
    <w:p w14:paraId="4DD9BDD2">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16.1.3因承包人违约解除合同后的估价、付款和结算</w:t>
      </w:r>
    </w:p>
    <w:p w14:paraId="7A21419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因承包人原因导致合同解除的，则合同当事人应在合同解除后28天内完成估价、付款和清算，并按以下约定执行：</w:t>
      </w:r>
    </w:p>
    <w:p w14:paraId="7114F7F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（1）合同解除后，按第3.6款[商定或确定]商定或确定承包人实际完成工作对应的合同价款，以及承包人已提供的材料、工程设备、施工设备和临时工程等的价值；</w:t>
      </w:r>
    </w:p>
    <w:p w14:paraId="13E7511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（2）合同解除后，承包人应支付的违约金；</w:t>
      </w:r>
    </w:p>
    <w:p w14:paraId="6B66475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（3）合同解除后，因解除合同给发包人造成的损失；</w:t>
      </w:r>
    </w:p>
    <w:p w14:paraId="73D17DD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（4）合同解除后，承包人应按照发包人的指示完成现场的清理和撤离；</w:t>
      </w:r>
    </w:p>
    <w:p w14:paraId="1C8212E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（5）发包人和承包人应在合同解除后进行清算，出具最终结清付款证书，结清全部款项。</w:t>
      </w:r>
    </w:p>
    <w:p w14:paraId="365EBB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因承包人违约解除合同的，发包人有权暂停对承包人的付款，查清各项付款和已扣款项，发包人和承包人未能就合同解除后的清算和款项支付达成一致的，按照第20条[争议解决]的约定处理。</w:t>
      </w:r>
    </w:p>
    <w:p w14:paraId="1BC498E2">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16.1.4因承包人违约解除合同的合同权益转让</w:t>
      </w:r>
    </w:p>
    <w:p w14:paraId="5F15B68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4ACB3614">
      <w:pPr>
        <w:widowControl/>
        <w:wordWrap w:val="0"/>
        <w:topLinePunct/>
        <w:adjustRightInd w:val="0"/>
        <w:snapToGrid w:val="0"/>
        <w:spacing w:after="163" w:afterLines="50" w:line="360" w:lineRule="auto"/>
        <w:outlineLvl w:val="2"/>
        <w:rPr>
          <w:rFonts w:ascii="宋体" w:hAnsi="宋体" w:cs="宋体"/>
          <w:color w:val="auto"/>
          <w:highlight w:val="none"/>
        </w:rPr>
      </w:pPr>
      <w:bookmarkStart w:id="2354" w:name="_Ref531958554"/>
      <w:bookmarkEnd w:id="2354"/>
      <w:bookmarkStart w:id="2355" w:name="_Toc20171846"/>
      <w:bookmarkEnd w:id="2355"/>
      <w:bookmarkStart w:id="2356" w:name="_Ref531958549"/>
      <w:bookmarkStart w:id="2357" w:name="_Toc170932565"/>
      <w:bookmarkStart w:id="2358" w:name="_Toc51766698"/>
      <w:bookmarkStart w:id="2359" w:name="_Toc4978"/>
      <w:bookmarkStart w:id="2360" w:name="_Toc84930834"/>
      <w:bookmarkStart w:id="2361" w:name="_Toc9305"/>
      <w:bookmarkStart w:id="2362" w:name="_Toc58860285"/>
      <w:bookmarkStart w:id="2363" w:name="_Toc22848"/>
      <w:bookmarkStart w:id="2364" w:name="_Toc24879"/>
      <w:r>
        <w:rPr>
          <w:rFonts w:hint="eastAsia" w:ascii="宋体" w:hAnsi="宋体" w:cs="宋体"/>
          <w:color w:val="auto"/>
          <w:szCs w:val="21"/>
          <w:highlight w:val="none"/>
          <w:lang w:bidi="ar"/>
        </w:rPr>
        <w:t>1</w:t>
      </w:r>
      <w:bookmarkEnd w:id="2356"/>
      <w:r>
        <w:rPr>
          <w:rFonts w:hint="eastAsia" w:ascii="宋体" w:hAnsi="宋体" w:cs="宋体"/>
          <w:color w:val="auto"/>
          <w:szCs w:val="21"/>
          <w:highlight w:val="none"/>
          <w:lang w:bidi="ar"/>
        </w:rPr>
        <w:t>6.2  由承包人解除合同</w:t>
      </w:r>
      <w:bookmarkEnd w:id="2357"/>
      <w:bookmarkEnd w:id="2358"/>
      <w:bookmarkEnd w:id="2359"/>
      <w:bookmarkEnd w:id="2360"/>
      <w:bookmarkEnd w:id="2361"/>
      <w:bookmarkEnd w:id="2362"/>
      <w:bookmarkEnd w:id="2363"/>
      <w:bookmarkEnd w:id="2364"/>
    </w:p>
    <w:p w14:paraId="4F259FE2">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65" w:name="_Ref3841758"/>
      <w:bookmarkEnd w:id="2365"/>
      <w:r>
        <w:rPr>
          <w:rFonts w:hint="eastAsia" w:ascii="宋体" w:hAnsi="宋体" w:cs="宋体"/>
          <w:color w:val="auto"/>
          <w:szCs w:val="21"/>
          <w:highlight w:val="none"/>
          <w:lang w:bidi="ar"/>
        </w:rPr>
        <w:t>16.2.1因发包人违约解除合同</w:t>
      </w:r>
    </w:p>
    <w:p w14:paraId="4896974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2237664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（1）承包人就发包人未能遵守第2.5.2项关于发包人的资金安排发出通知后42天内，仍未收到合理的证明；</w:t>
      </w:r>
    </w:p>
    <w:p w14:paraId="74ED0CD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（2）在第14条规定的付款时间到期后42天内，承包人仍未收到应付款项； </w:t>
      </w:r>
    </w:p>
    <w:p w14:paraId="15E0FAB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（3）发包人实质上未能根据合同约定履行其义务，构成根本性违约；</w:t>
      </w:r>
    </w:p>
    <w:p w14:paraId="7663B68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（4）发承包双方订立本合同协议书后的84天内，承包人未收到根据第8.1款[开始工作]的开始工作通知；</w:t>
      </w:r>
    </w:p>
    <w:p w14:paraId="1E8F6D5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647C238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（6）发包人未能遵守第2.5.3项的约定提交支付担保；</w:t>
      </w:r>
    </w:p>
    <w:p w14:paraId="489C5C8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（7）发包人未能执行第15.1.2项[通知改正]的约定，致使合同目的不能实现的；</w:t>
      </w:r>
    </w:p>
    <w:p w14:paraId="3AD4957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（8）因发包人的原因暂停工作超过56天且暂停影响到整个工程，或因发包人的原因暂停工作超过182天的；</w:t>
      </w:r>
    </w:p>
    <w:p w14:paraId="3BCBF0C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（9）因发包人原因造成开始工作日期迟于承包人收到中标通知书（或在无中标通知书的情况下，订立本合同之日）后第84天的。</w:t>
      </w:r>
    </w:p>
    <w:p w14:paraId="31D90D4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71640DA7">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366" w:name="_Ref3842018"/>
      <w:bookmarkEnd w:id="2366"/>
      <w:bookmarkStart w:id="2367" w:name="_Ref4624336"/>
      <w:r>
        <w:rPr>
          <w:rFonts w:hint="eastAsia" w:ascii="宋体" w:hAnsi="宋体" w:cs="宋体"/>
          <w:color w:val="auto"/>
          <w:szCs w:val="21"/>
          <w:highlight w:val="none"/>
          <w:lang w:bidi="ar"/>
        </w:rPr>
        <w:t>1</w:t>
      </w:r>
      <w:bookmarkEnd w:id="2367"/>
      <w:r>
        <w:rPr>
          <w:rFonts w:hint="eastAsia" w:ascii="宋体" w:hAnsi="宋体" w:cs="宋体"/>
          <w:color w:val="auto"/>
          <w:szCs w:val="21"/>
          <w:highlight w:val="none"/>
          <w:lang w:bidi="ar"/>
        </w:rPr>
        <w:t>6.2.2因发包人违约解除合同后承包人的义务</w:t>
      </w:r>
    </w:p>
    <w:p w14:paraId="0516162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合同解除后，承包人应按以下约定执行：</w:t>
      </w:r>
    </w:p>
    <w:p w14:paraId="79DBF14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（1）除为保护生命、财产、工程安全的工作外，停止所有进一步的工作；承包人因执行该保护工作而产生费用的，由发包人承担。</w:t>
      </w:r>
    </w:p>
    <w:p w14:paraId="77B3D38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（2）向发包人移交承包人已获得支付的承包人文件、生产设备、材料和其他工作；</w:t>
      </w:r>
    </w:p>
    <w:p w14:paraId="5EBF2AB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（3）从现场运走除为了安全需要以外的所有属于承包人的其他货物，并撤离现场。</w:t>
      </w:r>
    </w:p>
    <w:p w14:paraId="3D214DBD">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16.2.3因发包人违约解除合同后的付款</w:t>
      </w:r>
    </w:p>
    <w:p w14:paraId="1DBCDC0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承包人按照本款约定解除合同的，发包人应在解除合同后28天内支付下列款项，并退还履约担保：</w:t>
      </w:r>
    </w:p>
    <w:p w14:paraId="3C3C3A7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（1）合同解除前所完成工作的价款；</w:t>
      </w:r>
    </w:p>
    <w:p w14:paraId="4F11306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（2）承包人为工程施工订购并已付款的材料、工程设备和其他物品的价款；发包人付款后，该材料、工程设备和其他物品归发包人所有；</w:t>
      </w:r>
    </w:p>
    <w:p w14:paraId="7258F72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（3）承包人为完成工程所发生的，而发包人未支付的金额；</w:t>
      </w:r>
    </w:p>
    <w:p w14:paraId="40217F6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（4）承包人撤离施工现场以及遣散承包人人员的款项；</w:t>
      </w:r>
    </w:p>
    <w:p w14:paraId="4036DA5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（5）按照合同约定在合同解除前应支付的违约金；</w:t>
      </w:r>
    </w:p>
    <w:p w14:paraId="4AADD5C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（6）按照合同约定应当支付给承包人的其他款项；</w:t>
      </w:r>
    </w:p>
    <w:p w14:paraId="789B27F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（7）按照合同约定应返还的质量保证金；</w:t>
      </w:r>
    </w:p>
    <w:p w14:paraId="5FCF823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（8）因解除合同给承包人造成的损失。</w:t>
      </w:r>
    </w:p>
    <w:p w14:paraId="3713E09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承包人应妥善做好已完工程和与工程有关的已购材料、工程设备的保护和移交工作，并将施工设备和人员撤出施工现场，发包人应为承包人撤出提供必要条件。</w:t>
      </w:r>
    </w:p>
    <w:p w14:paraId="1B0D5F87">
      <w:pPr>
        <w:widowControl/>
        <w:wordWrap w:val="0"/>
        <w:topLinePunct/>
        <w:adjustRightInd w:val="0"/>
        <w:snapToGrid w:val="0"/>
        <w:spacing w:after="163" w:afterLines="50" w:line="360" w:lineRule="auto"/>
        <w:outlineLvl w:val="2"/>
        <w:rPr>
          <w:rFonts w:ascii="宋体" w:hAnsi="宋体" w:cs="宋体"/>
          <w:color w:val="auto"/>
          <w:highlight w:val="none"/>
        </w:rPr>
      </w:pPr>
      <w:bookmarkStart w:id="2368" w:name="_Toc20171847"/>
      <w:bookmarkEnd w:id="2368"/>
      <w:bookmarkStart w:id="2369" w:name="_Ref3841966"/>
      <w:bookmarkStart w:id="2370" w:name="_Toc170932566"/>
      <w:bookmarkStart w:id="2371" w:name="_Toc26283"/>
      <w:bookmarkStart w:id="2372" w:name="_Toc84930835"/>
      <w:bookmarkStart w:id="2373" w:name="_Toc482"/>
      <w:bookmarkStart w:id="2374" w:name="_Toc58860286"/>
      <w:bookmarkStart w:id="2375" w:name="_Toc27241"/>
      <w:bookmarkStart w:id="2376" w:name="_Toc51766699"/>
      <w:bookmarkStart w:id="2377" w:name="_Toc25911"/>
      <w:r>
        <w:rPr>
          <w:rFonts w:hint="eastAsia" w:ascii="宋体" w:hAnsi="宋体" w:cs="宋体"/>
          <w:color w:val="auto"/>
          <w:szCs w:val="21"/>
          <w:highlight w:val="none"/>
          <w:lang w:bidi="ar"/>
        </w:rPr>
        <w:t>1</w:t>
      </w:r>
      <w:bookmarkEnd w:id="2369"/>
      <w:r>
        <w:rPr>
          <w:rFonts w:hint="eastAsia" w:ascii="宋体" w:hAnsi="宋体" w:cs="宋体"/>
          <w:color w:val="auto"/>
          <w:szCs w:val="21"/>
          <w:highlight w:val="none"/>
          <w:lang w:bidi="ar"/>
        </w:rPr>
        <w:t>6.3  合同解除后的事项</w:t>
      </w:r>
      <w:bookmarkEnd w:id="2370"/>
      <w:bookmarkEnd w:id="2371"/>
      <w:bookmarkEnd w:id="2372"/>
      <w:bookmarkEnd w:id="2373"/>
      <w:bookmarkEnd w:id="2374"/>
      <w:bookmarkEnd w:id="2375"/>
      <w:bookmarkEnd w:id="2376"/>
      <w:bookmarkEnd w:id="2377"/>
    </w:p>
    <w:p w14:paraId="5968D500">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16.3.1结算约定依然有效</w:t>
      </w:r>
    </w:p>
    <w:p w14:paraId="1FBAEFB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合同解除后，由发包人或由承包人解除合同的结算及结算后的付款约定仍然有效，直至解除合同的结算工作结清。</w:t>
      </w:r>
    </w:p>
    <w:p w14:paraId="3B2DBD9C">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16.3.2解除合同的争议</w:t>
      </w:r>
    </w:p>
    <w:p w14:paraId="7E635C17">
      <w:pPr>
        <w:widowControl/>
        <w:adjustRightInd w:val="0"/>
        <w:snapToGrid w:val="0"/>
        <w:spacing w:after="163" w:afterLines="50" w:line="360" w:lineRule="auto"/>
        <w:ind w:firstLine="420" w:firstLineChars="200"/>
        <w:rPr>
          <w:rFonts w:ascii="宋体" w:hAnsi="宋体" w:cs="宋体"/>
          <w:color w:val="auto"/>
          <w:kern w:val="0"/>
          <w:highlight w:val="none"/>
        </w:rPr>
      </w:pPr>
      <w:bookmarkStart w:id="2378" w:name="_Hlk18988355"/>
      <w:bookmarkEnd w:id="2378"/>
      <w:r>
        <w:rPr>
          <w:rFonts w:hint="eastAsia" w:ascii="宋体" w:hAnsi="宋体" w:cs="宋体"/>
          <w:color w:val="auto"/>
          <w:kern w:val="0"/>
          <w:szCs w:val="21"/>
          <w:highlight w:val="none"/>
          <w:lang w:bidi="ar"/>
        </w:rPr>
        <w:t>双方对解除合同或解除合同后的结算有争议的，按照第20条[争议解决]的约定处理。</w:t>
      </w:r>
    </w:p>
    <w:p w14:paraId="6DCE0CCE">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379" w:name="_Toc20171848"/>
      <w:bookmarkEnd w:id="2379"/>
      <w:bookmarkStart w:id="2380" w:name="_Ref3840974"/>
      <w:bookmarkEnd w:id="2380"/>
      <w:bookmarkStart w:id="2381" w:name="_Ref3840605"/>
      <w:bookmarkStart w:id="2382" w:name="_Toc170932567"/>
      <w:bookmarkStart w:id="2383" w:name="_Toc30162"/>
      <w:r>
        <w:rPr>
          <w:rFonts w:hint="eastAsia" w:ascii="宋体" w:hAnsi="宋体" w:cs="宋体"/>
          <w:color w:val="auto"/>
          <w:kern w:val="0"/>
          <w:szCs w:val="21"/>
          <w:highlight w:val="none"/>
          <w:lang w:bidi="ar"/>
        </w:rPr>
        <w:t>第1</w:t>
      </w:r>
      <w:bookmarkEnd w:id="2381"/>
      <w:r>
        <w:rPr>
          <w:rFonts w:hint="eastAsia" w:ascii="宋体" w:hAnsi="宋体" w:cs="宋体"/>
          <w:color w:val="auto"/>
          <w:kern w:val="0"/>
          <w:szCs w:val="21"/>
          <w:highlight w:val="none"/>
          <w:lang w:bidi="ar"/>
        </w:rPr>
        <w:t>7条  不可抗力</w:t>
      </w:r>
      <w:bookmarkEnd w:id="2382"/>
      <w:bookmarkEnd w:id="2383"/>
    </w:p>
    <w:p w14:paraId="072D4ABB">
      <w:pPr>
        <w:widowControl/>
        <w:wordWrap w:val="0"/>
        <w:topLinePunct/>
        <w:adjustRightInd w:val="0"/>
        <w:snapToGrid w:val="0"/>
        <w:spacing w:after="163" w:afterLines="50" w:line="360" w:lineRule="auto"/>
        <w:outlineLvl w:val="2"/>
        <w:rPr>
          <w:rFonts w:ascii="宋体" w:hAnsi="宋体" w:cs="宋体"/>
          <w:color w:val="auto"/>
          <w:highlight w:val="none"/>
        </w:rPr>
      </w:pPr>
      <w:bookmarkStart w:id="2384" w:name="_Ref531958161"/>
      <w:bookmarkEnd w:id="2384"/>
      <w:bookmarkStart w:id="2385" w:name="_Ref531958158"/>
      <w:bookmarkEnd w:id="2385"/>
      <w:bookmarkStart w:id="2386" w:name="_Toc20171849"/>
      <w:bookmarkStart w:id="2387" w:name="_Toc7961"/>
      <w:bookmarkStart w:id="2388" w:name="_Toc170932568"/>
      <w:bookmarkStart w:id="2389" w:name="_Toc21586"/>
      <w:bookmarkStart w:id="2390" w:name="_Toc21139"/>
      <w:bookmarkStart w:id="2391" w:name="_Toc26573"/>
      <w:bookmarkStart w:id="2392" w:name="_Toc84930837"/>
      <w:bookmarkStart w:id="2393" w:name="_Toc51766701"/>
      <w:bookmarkStart w:id="2394" w:name="_Toc58860288"/>
      <w:r>
        <w:rPr>
          <w:rFonts w:hint="eastAsia" w:ascii="宋体" w:hAnsi="宋体" w:cs="宋体"/>
          <w:color w:val="auto"/>
          <w:szCs w:val="21"/>
          <w:highlight w:val="none"/>
          <w:lang w:bidi="ar"/>
        </w:rPr>
        <w:t>1</w:t>
      </w:r>
      <w:bookmarkEnd w:id="2386"/>
      <w:r>
        <w:rPr>
          <w:rFonts w:hint="eastAsia" w:ascii="宋体" w:hAnsi="宋体" w:cs="宋体"/>
          <w:color w:val="auto"/>
          <w:szCs w:val="21"/>
          <w:highlight w:val="none"/>
          <w:lang w:bidi="ar"/>
        </w:rPr>
        <w:t>7.1  不可抗力的定义</w:t>
      </w:r>
      <w:bookmarkEnd w:id="2387"/>
      <w:bookmarkEnd w:id="2388"/>
      <w:bookmarkEnd w:id="2389"/>
      <w:bookmarkEnd w:id="2390"/>
      <w:bookmarkEnd w:id="2391"/>
      <w:bookmarkEnd w:id="2392"/>
      <w:bookmarkEnd w:id="2393"/>
      <w:bookmarkEnd w:id="2394"/>
    </w:p>
    <w:p w14:paraId="1681FD1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7E860E84">
      <w:pPr>
        <w:widowControl/>
        <w:wordWrap w:val="0"/>
        <w:topLinePunct/>
        <w:adjustRightInd w:val="0"/>
        <w:snapToGrid w:val="0"/>
        <w:spacing w:after="163" w:afterLines="50" w:line="360" w:lineRule="auto"/>
        <w:outlineLvl w:val="2"/>
        <w:rPr>
          <w:rFonts w:ascii="宋体" w:hAnsi="宋体" w:cs="宋体"/>
          <w:color w:val="auto"/>
          <w:highlight w:val="none"/>
        </w:rPr>
      </w:pPr>
      <w:bookmarkStart w:id="2395" w:name="_Toc20171850"/>
      <w:bookmarkEnd w:id="2395"/>
      <w:bookmarkStart w:id="2396" w:name="_Toc58860289"/>
      <w:bookmarkStart w:id="2397" w:name="_Toc51766702"/>
      <w:bookmarkStart w:id="2398" w:name="_Toc7742"/>
      <w:bookmarkStart w:id="2399" w:name="_Toc26667"/>
      <w:bookmarkStart w:id="2400" w:name="_Toc170932569"/>
      <w:bookmarkStart w:id="2401" w:name="_Toc21252"/>
      <w:bookmarkStart w:id="2402" w:name="_Toc24388"/>
      <w:bookmarkStart w:id="2403" w:name="_Toc84930838"/>
      <w:r>
        <w:rPr>
          <w:rFonts w:hint="eastAsia" w:ascii="宋体" w:hAnsi="宋体" w:cs="宋体"/>
          <w:color w:val="auto"/>
          <w:szCs w:val="21"/>
          <w:highlight w:val="none"/>
          <w:lang w:bidi="ar"/>
        </w:rPr>
        <w:t>17.2  不可抗力的通知</w:t>
      </w:r>
      <w:bookmarkEnd w:id="2396"/>
      <w:bookmarkEnd w:id="2397"/>
      <w:bookmarkEnd w:id="2398"/>
      <w:bookmarkEnd w:id="2399"/>
      <w:bookmarkEnd w:id="2400"/>
      <w:bookmarkEnd w:id="2401"/>
      <w:bookmarkEnd w:id="2402"/>
      <w:bookmarkEnd w:id="2403"/>
      <w:r>
        <w:rPr>
          <w:rFonts w:hint="eastAsia" w:ascii="宋体" w:hAnsi="宋体" w:cs="宋体"/>
          <w:color w:val="auto"/>
          <w:szCs w:val="21"/>
          <w:highlight w:val="none"/>
          <w:lang w:bidi="ar"/>
        </w:rPr>
        <w:t xml:space="preserve"> </w:t>
      </w:r>
    </w:p>
    <w:p w14:paraId="5B4CC5D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合同一方当事人觉察或发现不可抗力事件发生，使其履行合同义务受到阻碍时，有义务立即通知合同另一方当事人和工程师，书面说明不可抗力和受阻碍的详细情况，并提供必要的证明。</w:t>
      </w:r>
    </w:p>
    <w:p w14:paraId="2874D64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不可抗力持续发生的，合同一方当事人应每隔28天向合同另一方当事人和工程师提交中间报告，说明不可抗力和履行合同受阻的情况，并于不可抗力事件结束后28天内提交最终报告及有关资料。</w:t>
      </w:r>
    </w:p>
    <w:p w14:paraId="788C6C03">
      <w:pPr>
        <w:widowControl/>
        <w:wordWrap w:val="0"/>
        <w:topLinePunct/>
        <w:adjustRightInd w:val="0"/>
        <w:snapToGrid w:val="0"/>
        <w:spacing w:after="163" w:afterLines="50" w:line="360" w:lineRule="auto"/>
        <w:outlineLvl w:val="2"/>
        <w:rPr>
          <w:rFonts w:ascii="宋体" w:hAnsi="宋体" w:cs="宋体"/>
          <w:color w:val="auto"/>
          <w:highlight w:val="none"/>
        </w:rPr>
      </w:pPr>
      <w:bookmarkStart w:id="2404" w:name="_Toc20171851"/>
      <w:bookmarkEnd w:id="2404"/>
      <w:bookmarkStart w:id="2405" w:name="_Toc2801"/>
      <w:bookmarkStart w:id="2406" w:name="_Toc11670"/>
      <w:bookmarkStart w:id="2407" w:name="_Toc170932570"/>
      <w:bookmarkStart w:id="2408" w:name="_Toc2033"/>
      <w:bookmarkStart w:id="2409" w:name="_Toc58860290"/>
      <w:bookmarkStart w:id="2410" w:name="_Toc11904"/>
      <w:bookmarkStart w:id="2411" w:name="_Toc84930839"/>
      <w:bookmarkStart w:id="2412" w:name="_Toc51766703"/>
      <w:r>
        <w:rPr>
          <w:rFonts w:hint="eastAsia" w:ascii="宋体" w:hAnsi="宋体" w:cs="宋体"/>
          <w:color w:val="auto"/>
          <w:szCs w:val="21"/>
          <w:highlight w:val="none"/>
          <w:lang w:bidi="ar"/>
        </w:rPr>
        <w:t>17.3  将损失减至最小的义务</w:t>
      </w:r>
      <w:bookmarkEnd w:id="2405"/>
      <w:bookmarkEnd w:id="2406"/>
      <w:bookmarkEnd w:id="2407"/>
      <w:bookmarkEnd w:id="2408"/>
      <w:bookmarkEnd w:id="2409"/>
      <w:bookmarkEnd w:id="2410"/>
      <w:bookmarkEnd w:id="2411"/>
      <w:bookmarkEnd w:id="2412"/>
    </w:p>
    <w:p w14:paraId="6168B64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79C5BFA1">
      <w:pPr>
        <w:widowControl/>
        <w:wordWrap w:val="0"/>
        <w:topLinePunct/>
        <w:adjustRightInd w:val="0"/>
        <w:snapToGrid w:val="0"/>
        <w:spacing w:after="163" w:afterLines="50" w:line="360" w:lineRule="auto"/>
        <w:outlineLvl w:val="2"/>
        <w:rPr>
          <w:rFonts w:ascii="宋体" w:hAnsi="宋体" w:cs="宋体"/>
          <w:color w:val="auto"/>
          <w:highlight w:val="none"/>
        </w:rPr>
      </w:pPr>
      <w:bookmarkStart w:id="2413" w:name="_Ref531958172"/>
      <w:bookmarkEnd w:id="2413"/>
      <w:bookmarkStart w:id="2414" w:name="_Toc20171852"/>
      <w:bookmarkEnd w:id="2414"/>
      <w:bookmarkStart w:id="2415" w:name="_Ref531958170"/>
      <w:bookmarkEnd w:id="2415"/>
      <w:bookmarkStart w:id="2416" w:name="_Ref3840916"/>
      <w:bookmarkStart w:id="2417" w:name="_Toc51766704"/>
      <w:bookmarkStart w:id="2418" w:name="_Toc84930840"/>
      <w:bookmarkStart w:id="2419" w:name="_Toc58860291"/>
      <w:bookmarkStart w:id="2420" w:name="_Toc5407"/>
      <w:bookmarkStart w:id="2421" w:name="_Toc4878"/>
      <w:bookmarkStart w:id="2422" w:name="_Toc8367"/>
      <w:bookmarkStart w:id="2423" w:name="_Toc6813"/>
      <w:bookmarkStart w:id="2424" w:name="_Toc170932571"/>
      <w:r>
        <w:rPr>
          <w:rFonts w:hint="eastAsia" w:ascii="宋体" w:hAnsi="宋体" w:cs="宋体"/>
          <w:color w:val="auto"/>
          <w:szCs w:val="21"/>
          <w:highlight w:val="none"/>
          <w:lang w:bidi="ar"/>
        </w:rPr>
        <w:t>1</w:t>
      </w:r>
      <w:bookmarkEnd w:id="2416"/>
      <w:r>
        <w:rPr>
          <w:rFonts w:hint="eastAsia" w:ascii="宋体" w:hAnsi="宋体" w:cs="宋体"/>
          <w:color w:val="auto"/>
          <w:szCs w:val="21"/>
          <w:highlight w:val="none"/>
          <w:lang w:bidi="ar"/>
        </w:rPr>
        <w:t>7.4  不可抗力后果的承担</w:t>
      </w:r>
      <w:bookmarkEnd w:id="2417"/>
      <w:bookmarkEnd w:id="2418"/>
      <w:bookmarkEnd w:id="2419"/>
      <w:bookmarkEnd w:id="2420"/>
      <w:bookmarkEnd w:id="2421"/>
      <w:bookmarkEnd w:id="2422"/>
      <w:bookmarkEnd w:id="2423"/>
      <w:bookmarkEnd w:id="2424"/>
      <w:r>
        <w:rPr>
          <w:rFonts w:hint="eastAsia" w:ascii="宋体" w:hAnsi="宋体" w:cs="宋体"/>
          <w:color w:val="auto"/>
          <w:szCs w:val="21"/>
          <w:highlight w:val="none"/>
          <w:lang w:bidi="ar"/>
        </w:rPr>
        <w:t xml:space="preserve"> </w:t>
      </w:r>
    </w:p>
    <w:p w14:paraId="76041048">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17.4.1不可抗力导致的人员伤亡、财产损失、费用增加和（或）工期延误等后果，由合同当事人按以下原则承担：</w:t>
      </w:r>
    </w:p>
    <w:p w14:paraId="4FF4D87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（1）永久工程，包括已运至施工现场的材料和工程设备的损害，以及因工程损害造成的第三人人员伤亡和财产损失由发包人承担；</w:t>
      </w:r>
    </w:p>
    <w:p w14:paraId="51FDFC0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（2）承包人提供的施工设备的损坏由承包人承担；</w:t>
      </w:r>
    </w:p>
    <w:p w14:paraId="4C43DCC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（3）发包人和承包人各自承担其人员伤亡及其他财产损失；</w:t>
      </w:r>
    </w:p>
    <w:p w14:paraId="384046E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因不可抗力影响承包人履行合同约定的义务，已经引起或将引起工期延误的，应当顺延工期，由此导致承包人停工的费用损失由发包人和承包人合理分担，停工期间必须支付的现场必要的工人工资由发包人承担；</w:t>
      </w:r>
    </w:p>
    <w:p w14:paraId="59A0A32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（5）因不可抗力引起或将引起工期延误，发包人指示赶工的，由此增加的赶工费用由发包人承担；</w:t>
      </w:r>
    </w:p>
    <w:p w14:paraId="67852D25">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（6）承包人在停工期间按照工程师或发包人要求照管、清理和修复工程的费用由发包人承担。</w:t>
      </w:r>
    </w:p>
    <w:p w14:paraId="2D5BF67C">
      <w:pPr>
        <w:widowControl/>
        <w:adjustRightInd w:val="0"/>
        <w:snapToGrid w:val="0"/>
        <w:spacing w:after="163" w:afterLines="50" w:line="360" w:lineRule="auto"/>
        <w:ind w:firstLine="420" w:firstLineChars="200"/>
        <w:rPr>
          <w:color w:val="auto"/>
          <w:highlight w:val="none"/>
        </w:rPr>
      </w:pPr>
      <w:r>
        <w:rPr>
          <w:rFonts w:hint="eastAsia"/>
          <w:color w:val="auto"/>
          <w:highlight w:val="none"/>
        </w:rPr>
        <w:t>不可抗力引起的后果及造成的损失由合同当事人按照法律规定及合同约定各自承担。不可抗力发生前已完成的工程应当按照合同约定进行支付。</w:t>
      </w:r>
    </w:p>
    <w:p w14:paraId="1F1B12FC">
      <w:pPr>
        <w:widowControl/>
        <w:wordWrap w:val="0"/>
        <w:topLinePunct/>
        <w:adjustRightInd w:val="0"/>
        <w:snapToGrid w:val="0"/>
        <w:spacing w:after="163" w:afterLines="50" w:line="360" w:lineRule="auto"/>
        <w:outlineLvl w:val="2"/>
        <w:rPr>
          <w:rFonts w:ascii="宋体" w:hAnsi="宋体" w:cs="宋体"/>
          <w:color w:val="auto"/>
          <w:highlight w:val="none"/>
        </w:rPr>
      </w:pPr>
      <w:bookmarkStart w:id="2425" w:name="_Toc20171853"/>
      <w:bookmarkEnd w:id="2425"/>
      <w:bookmarkStart w:id="2426" w:name="_Toc58860292"/>
      <w:bookmarkStart w:id="2427" w:name="_Toc170932572"/>
      <w:bookmarkStart w:id="2428" w:name="_Toc6138"/>
      <w:bookmarkStart w:id="2429" w:name="_Toc26674"/>
      <w:bookmarkStart w:id="2430" w:name="_Toc9173"/>
      <w:bookmarkStart w:id="2431" w:name="_Toc84930841"/>
      <w:bookmarkStart w:id="2432" w:name="_Toc51766705"/>
      <w:bookmarkStart w:id="2433" w:name="_Toc18238"/>
      <w:r>
        <w:rPr>
          <w:rFonts w:hint="eastAsia" w:ascii="宋体" w:hAnsi="宋体" w:cs="宋体"/>
          <w:color w:val="auto"/>
          <w:szCs w:val="21"/>
          <w:highlight w:val="none"/>
          <w:lang w:bidi="ar"/>
        </w:rPr>
        <w:t>17.5  不可抗力影响分包人</w:t>
      </w:r>
      <w:bookmarkEnd w:id="2426"/>
      <w:bookmarkEnd w:id="2427"/>
      <w:bookmarkEnd w:id="2428"/>
      <w:bookmarkEnd w:id="2429"/>
      <w:bookmarkEnd w:id="2430"/>
      <w:bookmarkEnd w:id="2431"/>
      <w:bookmarkEnd w:id="2432"/>
      <w:bookmarkEnd w:id="2433"/>
      <w:r>
        <w:rPr>
          <w:rFonts w:hint="eastAsia" w:ascii="宋体" w:hAnsi="宋体" w:cs="宋体"/>
          <w:color w:val="auto"/>
          <w:szCs w:val="21"/>
          <w:highlight w:val="none"/>
          <w:lang w:bidi="ar"/>
        </w:rPr>
        <w:t xml:space="preserve"> </w:t>
      </w:r>
    </w:p>
    <w:p w14:paraId="0E6960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分包人根据分包合同的约定，有权获得更多或者更广的不可抗力而免除某些义务时，承包人不得以分包合同中不可抗力约定向发包人抗辩免除其义务。</w:t>
      </w:r>
    </w:p>
    <w:p w14:paraId="1400D01C">
      <w:pPr>
        <w:widowControl/>
        <w:wordWrap w:val="0"/>
        <w:topLinePunct/>
        <w:adjustRightInd w:val="0"/>
        <w:snapToGrid w:val="0"/>
        <w:spacing w:after="163" w:afterLines="50" w:line="360" w:lineRule="auto"/>
        <w:outlineLvl w:val="2"/>
        <w:rPr>
          <w:rFonts w:ascii="宋体" w:hAnsi="宋体" w:cs="宋体"/>
          <w:color w:val="auto"/>
          <w:highlight w:val="none"/>
        </w:rPr>
      </w:pPr>
      <w:bookmarkStart w:id="2434" w:name="_Ref531958181"/>
      <w:bookmarkEnd w:id="2434"/>
      <w:bookmarkStart w:id="2435" w:name="_Toc20171854"/>
      <w:bookmarkEnd w:id="2435"/>
      <w:bookmarkStart w:id="2436" w:name="_Ref3840892"/>
      <w:bookmarkEnd w:id="2436"/>
      <w:bookmarkStart w:id="2437" w:name="_Ref4538024"/>
      <w:bookmarkEnd w:id="2437"/>
      <w:bookmarkStart w:id="2438" w:name="_Ref531958184"/>
      <w:bookmarkStart w:id="2439" w:name="_Toc15173"/>
      <w:bookmarkStart w:id="2440" w:name="_Toc51766706"/>
      <w:bookmarkStart w:id="2441" w:name="_Toc58860293"/>
      <w:bookmarkStart w:id="2442" w:name="_Toc25254"/>
      <w:bookmarkStart w:id="2443" w:name="_Toc170932573"/>
      <w:bookmarkStart w:id="2444" w:name="_Toc17782"/>
      <w:bookmarkStart w:id="2445" w:name="_Toc84930842"/>
      <w:bookmarkStart w:id="2446" w:name="_Toc16106"/>
      <w:r>
        <w:rPr>
          <w:rFonts w:hint="eastAsia" w:ascii="宋体" w:hAnsi="宋体" w:cs="宋体"/>
          <w:color w:val="auto"/>
          <w:szCs w:val="21"/>
          <w:highlight w:val="none"/>
          <w:lang w:bidi="ar"/>
        </w:rPr>
        <w:t>1</w:t>
      </w:r>
      <w:bookmarkEnd w:id="2438"/>
      <w:r>
        <w:rPr>
          <w:rFonts w:hint="eastAsia" w:ascii="宋体" w:hAnsi="宋体" w:cs="宋体"/>
          <w:color w:val="auto"/>
          <w:szCs w:val="21"/>
          <w:highlight w:val="none"/>
          <w:lang w:bidi="ar"/>
        </w:rPr>
        <w:t>7.6  因不可抗力解除合同</w:t>
      </w:r>
      <w:bookmarkEnd w:id="2439"/>
      <w:bookmarkEnd w:id="2440"/>
      <w:bookmarkEnd w:id="2441"/>
      <w:bookmarkEnd w:id="2442"/>
      <w:bookmarkEnd w:id="2443"/>
      <w:bookmarkEnd w:id="2444"/>
      <w:bookmarkEnd w:id="2445"/>
      <w:bookmarkEnd w:id="2446"/>
      <w:r>
        <w:rPr>
          <w:rFonts w:hint="eastAsia" w:ascii="宋体" w:hAnsi="宋体" w:cs="宋体"/>
          <w:color w:val="auto"/>
          <w:szCs w:val="21"/>
          <w:highlight w:val="none"/>
          <w:lang w:bidi="ar"/>
        </w:rPr>
        <w:t xml:space="preserve"> </w:t>
      </w:r>
    </w:p>
    <w:p w14:paraId="4CA2306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4BD251C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（1）合同解除前承包人已完成工作的价款；</w:t>
      </w:r>
    </w:p>
    <w:p w14:paraId="580836D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5EE5A29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（3）发包人指示承包人退货或解除订货合同而产生的费用，或因不能退货或解除合同而产生的损失；</w:t>
      </w:r>
    </w:p>
    <w:p w14:paraId="32F417B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（4）承包人撤离施工现场以及遣散承包人人员的费用；</w:t>
      </w:r>
    </w:p>
    <w:p w14:paraId="30FD02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（5）按照合同约定在合同解除前应支付给承包人的其他款项；</w:t>
      </w:r>
    </w:p>
    <w:p w14:paraId="1665282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（6）扣减承包人按照合同约定应向发包人支付的款项；</w:t>
      </w:r>
    </w:p>
    <w:p w14:paraId="3B5C7A4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（7）双方商定或确定的其他款项。</w:t>
      </w:r>
    </w:p>
    <w:p w14:paraId="3CFD46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除专用合同条件另有约定外，合同解除后，发包人应当在商定或确定上述款项后28天内完成上述款项的支付。</w:t>
      </w:r>
    </w:p>
    <w:p w14:paraId="29207537">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447" w:name="_Toc20171855"/>
      <w:bookmarkEnd w:id="2447"/>
      <w:bookmarkStart w:id="2448" w:name="_Ref11848274"/>
      <w:bookmarkEnd w:id="2448"/>
      <w:bookmarkStart w:id="2449" w:name="_Ref11848264"/>
      <w:bookmarkStart w:id="2450" w:name="_Toc170932574"/>
      <w:bookmarkStart w:id="2451" w:name="_Toc6693"/>
      <w:r>
        <w:rPr>
          <w:rFonts w:hint="eastAsia" w:ascii="宋体" w:hAnsi="宋体" w:cs="宋体"/>
          <w:color w:val="auto"/>
          <w:kern w:val="0"/>
          <w:szCs w:val="21"/>
          <w:highlight w:val="none"/>
          <w:lang w:bidi="ar"/>
        </w:rPr>
        <w:t>第1</w:t>
      </w:r>
      <w:bookmarkEnd w:id="2449"/>
      <w:r>
        <w:rPr>
          <w:rFonts w:hint="eastAsia" w:ascii="宋体" w:hAnsi="宋体" w:cs="宋体"/>
          <w:color w:val="auto"/>
          <w:kern w:val="0"/>
          <w:szCs w:val="21"/>
          <w:highlight w:val="none"/>
          <w:lang w:bidi="ar"/>
        </w:rPr>
        <w:t>8条  保险</w:t>
      </w:r>
      <w:bookmarkEnd w:id="2450"/>
      <w:bookmarkEnd w:id="2451"/>
      <w:r>
        <w:rPr>
          <w:rFonts w:hint="eastAsia" w:ascii="宋体" w:hAnsi="宋体" w:cs="宋体"/>
          <w:color w:val="auto"/>
          <w:kern w:val="0"/>
          <w:szCs w:val="21"/>
          <w:highlight w:val="none"/>
          <w:lang w:bidi="ar"/>
        </w:rPr>
        <w:t xml:space="preserve"> </w:t>
      </w:r>
    </w:p>
    <w:p w14:paraId="06F838D0">
      <w:pPr>
        <w:widowControl/>
        <w:wordWrap w:val="0"/>
        <w:topLinePunct/>
        <w:adjustRightInd w:val="0"/>
        <w:snapToGrid w:val="0"/>
        <w:spacing w:after="163" w:afterLines="50" w:line="360" w:lineRule="auto"/>
        <w:outlineLvl w:val="2"/>
        <w:rPr>
          <w:rFonts w:ascii="宋体" w:hAnsi="宋体" w:cs="宋体"/>
          <w:color w:val="auto"/>
          <w:highlight w:val="none"/>
        </w:rPr>
      </w:pPr>
      <w:bookmarkStart w:id="2452" w:name="_Toc20171856"/>
      <w:bookmarkEnd w:id="2452"/>
      <w:bookmarkStart w:id="2453" w:name="_Ref531957911"/>
      <w:bookmarkEnd w:id="2453"/>
      <w:bookmarkStart w:id="2454" w:name="_Ref531957914"/>
      <w:bookmarkEnd w:id="2454"/>
      <w:bookmarkStart w:id="2455" w:name="_Ref3840734"/>
      <w:bookmarkEnd w:id="2455"/>
      <w:bookmarkStart w:id="2456" w:name="_Ref3840730"/>
      <w:bookmarkEnd w:id="2456"/>
      <w:bookmarkStart w:id="2457" w:name="_Toc351203616"/>
      <w:bookmarkStart w:id="2458" w:name="_Toc170932575"/>
      <w:bookmarkStart w:id="2459" w:name="_Toc51766708"/>
      <w:bookmarkStart w:id="2460" w:name="_Toc84930844"/>
      <w:bookmarkStart w:id="2461" w:name="_Toc31671"/>
      <w:bookmarkStart w:id="2462" w:name="_Toc19630"/>
      <w:bookmarkStart w:id="2463" w:name="_Toc58860295"/>
      <w:bookmarkStart w:id="2464" w:name="_Toc16605"/>
      <w:bookmarkStart w:id="2465" w:name="_Toc20722"/>
      <w:r>
        <w:rPr>
          <w:rFonts w:hint="eastAsia" w:ascii="宋体" w:hAnsi="宋体" w:cs="宋体"/>
          <w:color w:val="auto"/>
          <w:szCs w:val="21"/>
          <w:highlight w:val="none"/>
          <w:lang w:bidi="ar"/>
        </w:rPr>
        <w:t>1</w:t>
      </w:r>
      <w:bookmarkEnd w:id="2457"/>
      <w:r>
        <w:rPr>
          <w:rFonts w:hint="eastAsia" w:ascii="宋体" w:hAnsi="宋体" w:cs="宋体"/>
          <w:color w:val="auto"/>
          <w:szCs w:val="21"/>
          <w:highlight w:val="none"/>
          <w:lang w:bidi="ar"/>
        </w:rPr>
        <w:t>8.1  设计和工程保险</w:t>
      </w:r>
      <w:bookmarkEnd w:id="2458"/>
      <w:bookmarkEnd w:id="2459"/>
      <w:bookmarkEnd w:id="2460"/>
      <w:bookmarkEnd w:id="2461"/>
      <w:bookmarkEnd w:id="2462"/>
      <w:bookmarkEnd w:id="2463"/>
      <w:bookmarkEnd w:id="2464"/>
      <w:bookmarkEnd w:id="2465"/>
    </w:p>
    <w:p w14:paraId="3F44112A">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18.1.1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720FCD36">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18.1.2双方应按照专用合同条件的约定投保第三者责任险，并在缺陷责任期终止证书颁发前维持其持续有效。第三者责任险最低投保额应在专用合同条件内约定。</w:t>
      </w:r>
    </w:p>
    <w:p w14:paraId="07A3C3B0">
      <w:pPr>
        <w:widowControl/>
        <w:wordWrap w:val="0"/>
        <w:topLinePunct/>
        <w:adjustRightInd w:val="0"/>
        <w:snapToGrid w:val="0"/>
        <w:spacing w:after="163" w:afterLines="50" w:line="360" w:lineRule="auto"/>
        <w:outlineLvl w:val="2"/>
        <w:rPr>
          <w:rFonts w:ascii="宋体" w:hAnsi="宋体" w:cs="宋体"/>
          <w:color w:val="auto"/>
          <w:highlight w:val="none"/>
        </w:rPr>
      </w:pPr>
      <w:bookmarkStart w:id="2466" w:name="_Ref3840683"/>
      <w:bookmarkEnd w:id="2466"/>
      <w:bookmarkStart w:id="2467" w:name="_Toc20171857"/>
      <w:bookmarkStart w:id="2468" w:name="_Toc51766709"/>
      <w:bookmarkStart w:id="2469" w:name="_Toc31109"/>
      <w:bookmarkStart w:id="2470" w:name="_Toc10556"/>
      <w:bookmarkStart w:id="2471" w:name="_Toc28180"/>
      <w:bookmarkStart w:id="2472" w:name="_Toc84930845"/>
      <w:bookmarkStart w:id="2473" w:name="_Toc170932576"/>
      <w:bookmarkStart w:id="2474" w:name="_Toc58860296"/>
      <w:bookmarkStart w:id="2475" w:name="_Toc18994"/>
      <w:r>
        <w:rPr>
          <w:rFonts w:hint="eastAsia" w:ascii="宋体" w:hAnsi="宋体" w:cs="宋体"/>
          <w:color w:val="auto"/>
          <w:szCs w:val="21"/>
          <w:highlight w:val="none"/>
          <w:lang w:bidi="ar"/>
        </w:rPr>
        <w:t>1</w:t>
      </w:r>
      <w:bookmarkEnd w:id="2467"/>
      <w:r>
        <w:rPr>
          <w:rFonts w:hint="eastAsia" w:ascii="宋体" w:hAnsi="宋体" w:cs="宋体"/>
          <w:color w:val="auto"/>
          <w:szCs w:val="21"/>
          <w:highlight w:val="none"/>
          <w:lang w:bidi="ar"/>
        </w:rPr>
        <w:t>8.2  工伤和意外伤害保险</w:t>
      </w:r>
      <w:bookmarkEnd w:id="2468"/>
      <w:bookmarkEnd w:id="2469"/>
      <w:bookmarkEnd w:id="2470"/>
      <w:bookmarkEnd w:id="2471"/>
      <w:bookmarkEnd w:id="2472"/>
      <w:bookmarkEnd w:id="2473"/>
      <w:bookmarkEnd w:id="2474"/>
      <w:bookmarkEnd w:id="2475"/>
    </w:p>
    <w:p w14:paraId="110ED374">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18.2.1发包人应依照法律规定为其在施工现场的雇用人员办理工伤保险，缴纳工伤保险费；并要求工程师及由发包人为履行合同聘请的第三方在施工现场的雇用人员依法办理工伤保险。</w:t>
      </w:r>
    </w:p>
    <w:p w14:paraId="53624BE0">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18.2.2承包人应依照法律规定为其履行合同雇用的全部人员办理工伤保险，缴纳工伤保险费，并要求分包人及由承包人为履行合同聘请的第三方雇用的全部人员依法办理工伤保险。</w:t>
      </w:r>
    </w:p>
    <w:p w14:paraId="4F47BD66">
      <w:pPr>
        <w:widowControl/>
        <w:adjustRightInd w:val="0"/>
        <w:snapToGrid w:val="0"/>
        <w:spacing w:after="163" w:after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18.2.3发包人和承包人可以为其施工现场的全部人员办理意外伤害保险并支付保险费，包括其员工及为履行合同聘请的第三方的人员，具体事项由合同当事人在专用合同条件约定。</w:t>
      </w:r>
    </w:p>
    <w:p w14:paraId="6172205A">
      <w:pPr>
        <w:widowControl/>
        <w:wordWrap w:val="0"/>
        <w:topLinePunct/>
        <w:adjustRightInd w:val="0"/>
        <w:snapToGrid w:val="0"/>
        <w:spacing w:after="163" w:afterLines="50" w:line="360" w:lineRule="auto"/>
        <w:outlineLvl w:val="2"/>
        <w:rPr>
          <w:rFonts w:ascii="宋体" w:hAnsi="宋体" w:cs="宋体"/>
          <w:color w:val="auto"/>
          <w:highlight w:val="none"/>
        </w:rPr>
      </w:pPr>
      <w:bookmarkStart w:id="2476" w:name="_Ref3840782"/>
      <w:bookmarkEnd w:id="2476"/>
      <w:bookmarkStart w:id="2477" w:name="_Toc20171858"/>
      <w:bookmarkStart w:id="2478" w:name="_Toc26556"/>
      <w:bookmarkStart w:id="2479" w:name="_Toc51766710"/>
      <w:bookmarkStart w:id="2480" w:name="_Toc9367"/>
      <w:bookmarkStart w:id="2481" w:name="_Toc170932577"/>
      <w:bookmarkStart w:id="2482" w:name="_Toc84930846"/>
      <w:bookmarkStart w:id="2483" w:name="_Toc58860297"/>
      <w:bookmarkStart w:id="2484" w:name="_Toc21154"/>
      <w:bookmarkStart w:id="2485" w:name="_Toc3855"/>
      <w:r>
        <w:rPr>
          <w:rFonts w:hint="eastAsia" w:ascii="宋体" w:hAnsi="宋体" w:cs="宋体"/>
          <w:color w:val="auto"/>
          <w:szCs w:val="21"/>
          <w:highlight w:val="none"/>
          <w:lang w:bidi="ar"/>
        </w:rPr>
        <w:t>1</w:t>
      </w:r>
      <w:bookmarkEnd w:id="2477"/>
      <w:r>
        <w:rPr>
          <w:rFonts w:hint="eastAsia" w:ascii="宋体" w:hAnsi="宋体" w:cs="宋体"/>
          <w:color w:val="auto"/>
          <w:szCs w:val="21"/>
          <w:highlight w:val="none"/>
          <w:lang w:bidi="ar"/>
        </w:rPr>
        <w:t>8.3  货物保险</w:t>
      </w:r>
      <w:bookmarkEnd w:id="2478"/>
      <w:bookmarkEnd w:id="2479"/>
      <w:bookmarkEnd w:id="2480"/>
      <w:bookmarkEnd w:id="2481"/>
      <w:bookmarkEnd w:id="2482"/>
      <w:bookmarkEnd w:id="2483"/>
      <w:bookmarkEnd w:id="2484"/>
      <w:bookmarkEnd w:id="2485"/>
    </w:p>
    <w:p w14:paraId="6559E95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承包人应按照专用合同条件的约定为运抵现场的施工设备、材料、工程设备和临时工程等办理财产保险，保险期限自上述货物运抵现场至其不再为工程所需要为止。</w:t>
      </w:r>
    </w:p>
    <w:p w14:paraId="207601EB">
      <w:pPr>
        <w:widowControl/>
        <w:wordWrap w:val="0"/>
        <w:topLinePunct/>
        <w:adjustRightInd w:val="0"/>
        <w:snapToGrid w:val="0"/>
        <w:spacing w:after="163" w:afterLines="50" w:line="360" w:lineRule="auto"/>
        <w:outlineLvl w:val="2"/>
        <w:rPr>
          <w:rFonts w:ascii="宋体" w:hAnsi="宋体" w:cs="宋体"/>
          <w:color w:val="auto"/>
          <w:highlight w:val="none"/>
        </w:rPr>
      </w:pPr>
      <w:bookmarkStart w:id="2486" w:name="_Toc20171859"/>
      <w:bookmarkEnd w:id="2486"/>
      <w:bookmarkStart w:id="2487" w:name="_Ref4692238"/>
      <w:bookmarkEnd w:id="2487"/>
      <w:bookmarkStart w:id="2488" w:name="_Ref4692231"/>
      <w:bookmarkStart w:id="2489" w:name="_Toc51766711"/>
      <w:bookmarkStart w:id="2490" w:name="_Toc24017"/>
      <w:bookmarkStart w:id="2491" w:name="_Toc3108"/>
      <w:bookmarkStart w:id="2492" w:name="_Toc32567"/>
      <w:bookmarkStart w:id="2493" w:name="_Toc84930847"/>
      <w:bookmarkStart w:id="2494" w:name="_Toc58860298"/>
      <w:bookmarkStart w:id="2495" w:name="_Toc13491"/>
      <w:bookmarkStart w:id="2496" w:name="_Toc170932578"/>
      <w:r>
        <w:rPr>
          <w:rFonts w:hint="eastAsia" w:ascii="宋体" w:hAnsi="宋体" w:cs="宋体"/>
          <w:color w:val="auto"/>
          <w:szCs w:val="21"/>
          <w:highlight w:val="none"/>
          <w:lang w:bidi="ar"/>
        </w:rPr>
        <w:t>1</w:t>
      </w:r>
      <w:bookmarkEnd w:id="2488"/>
      <w:r>
        <w:rPr>
          <w:rFonts w:hint="eastAsia" w:ascii="宋体" w:hAnsi="宋体" w:cs="宋体"/>
          <w:color w:val="auto"/>
          <w:szCs w:val="21"/>
          <w:highlight w:val="none"/>
          <w:lang w:bidi="ar"/>
        </w:rPr>
        <w:t>8.4  其他保险</w:t>
      </w:r>
      <w:bookmarkEnd w:id="2489"/>
      <w:bookmarkEnd w:id="2490"/>
      <w:bookmarkEnd w:id="2491"/>
      <w:bookmarkEnd w:id="2492"/>
      <w:bookmarkEnd w:id="2493"/>
      <w:bookmarkEnd w:id="2494"/>
      <w:bookmarkEnd w:id="2495"/>
      <w:bookmarkEnd w:id="2496"/>
    </w:p>
    <w:p w14:paraId="24B0356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w:t>
      </w:r>
      <w:bookmarkStart w:id="2497" w:name="_Toc337558832"/>
      <w:bookmarkEnd w:id="2497"/>
      <w:bookmarkStart w:id="2498" w:name="_Toc351203617"/>
      <w:bookmarkEnd w:id="2498"/>
      <w:bookmarkStart w:id="2499" w:name="_Toc296346627"/>
      <w:bookmarkEnd w:id="2499"/>
      <w:bookmarkStart w:id="2500" w:name="_Toc296503126"/>
      <w:bookmarkEnd w:id="2500"/>
      <w:r>
        <w:rPr>
          <w:rFonts w:hint="eastAsia" w:ascii="宋体" w:hAnsi="宋体" w:cs="宋体"/>
          <w:color w:val="auto"/>
          <w:kern w:val="0"/>
          <w:szCs w:val="21"/>
          <w:highlight w:val="none"/>
          <w:lang w:bidi="ar"/>
        </w:rPr>
        <w:t>第13条[变更与调整]的约定增加合同价款。</w:t>
      </w:r>
    </w:p>
    <w:p w14:paraId="5A4248F6">
      <w:pPr>
        <w:widowControl/>
        <w:wordWrap w:val="0"/>
        <w:topLinePunct/>
        <w:adjustRightInd w:val="0"/>
        <w:snapToGrid w:val="0"/>
        <w:spacing w:after="163" w:afterLines="50" w:line="360" w:lineRule="auto"/>
        <w:outlineLvl w:val="2"/>
        <w:rPr>
          <w:rFonts w:ascii="宋体" w:hAnsi="宋体" w:cs="宋体"/>
          <w:color w:val="auto"/>
          <w:highlight w:val="none"/>
        </w:rPr>
      </w:pPr>
      <w:bookmarkStart w:id="2501" w:name="_Toc20171860"/>
      <w:bookmarkEnd w:id="2501"/>
      <w:bookmarkStart w:id="2502" w:name="_Ref3840659"/>
      <w:bookmarkStart w:id="2503" w:name="_Toc24339"/>
      <w:bookmarkStart w:id="2504" w:name="_Toc9676"/>
      <w:bookmarkStart w:id="2505" w:name="_Toc51766712"/>
      <w:bookmarkStart w:id="2506" w:name="_Toc58860299"/>
      <w:bookmarkStart w:id="2507" w:name="_Toc170932579"/>
      <w:bookmarkStart w:id="2508" w:name="_Toc4033"/>
      <w:bookmarkStart w:id="2509" w:name="_Toc84930848"/>
      <w:bookmarkStart w:id="2510" w:name="_Toc17266"/>
      <w:r>
        <w:rPr>
          <w:rFonts w:hint="eastAsia" w:ascii="宋体" w:hAnsi="宋体" w:cs="宋体"/>
          <w:color w:val="auto"/>
          <w:szCs w:val="21"/>
          <w:highlight w:val="none"/>
          <w:lang w:bidi="ar"/>
        </w:rPr>
        <w:t>1</w:t>
      </w:r>
      <w:bookmarkEnd w:id="2502"/>
      <w:r>
        <w:rPr>
          <w:rFonts w:hint="eastAsia" w:ascii="宋体" w:hAnsi="宋体" w:cs="宋体"/>
          <w:color w:val="auto"/>
          <w:szCs w:val="21"/>
          <w:highlight w:val="none"/>
          <w:lang w:bidi="ar"/>
        </w:rPr>
        <w:t>8.5  对各项保险的一般要求</w:t>
      </w:r>
      <w:bookmarkEnd w:id="2503"/>
      <w:bookmarkEnd w:id="2504"/>
      <w:bookmarkEnd w:id="2505"/>
      <w:bookmarkEnd w:id="2506"/>
      <w:bookmarkEnd w:id="2507"/>
      <w:bookmarkEnd w:id="2508"/>
      <w:bookmarkEnd w:id="2509"/>
      <w:bookmarkEnd w:id="2510"/>
    </w:p>
    <w:p w14:paraId="38C4BDCE">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18.5.1持续保险</w:t>
      </w:r>
    </w:p>
    <w:p w14:paraId="034F4BB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合同当事人应与保险人保持联系，使保险人能够随时了解工程实施中的变动，并确保按保险合同条款要求持续保险。</w:t>
      </w:r>
    </w:p>
    <w:p w14:paraId="5E00BB64">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511" w:name="_Ref4777650"/>
      <w:bookmarkEnd w:id="2511"/>
      <w:r>
        <w:rPr>
          <w:rFonts w:hint="eastAsia" w:ascii="宋体" w:hAnsi="宋体" w:cs="宋体"/>
          <w:color w:val="auto"/>
          <w:szCs w:val="21"/>
          <w:highlight w:val="none"/>
          <w:lang w:bidi="ar"/>
        </w:rPr>
        <w:t>18.5.2保险凭证</w:t>
      </w:r>
    </w:p>
    <w:p w14:paraId="5B03E4A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合同当事人应及时向另一方当事人提交其已投保的各项保险的凭证和保险单复印件，保险单必须与专用合同条件约定的条件保持一致。</w:t>
      </w:r>
    </w:p>
    <w:p w14:paraId="12EE8BD5">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18.5.3未按约定投保的补救</w:t>
      </w:r>
    </w:p>
    <w:p w14:paraId="196B491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负有投保义务的一方当事人未按合同约定办理保险，或未能使保险持续有效的，则另一方当事人可代为办理，所需费用由负有投保义务的一方当事人承担。</w:t>
      </w:r>
    </w:p>
    <w:p w14:paraId="0C149D5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负有投保</w:t>
      </w:r>
      <w:bookmarkStart w:id="2512" w:name="_Toc351203619"/>
      <w:bookmarkEnd w:id="2512"/>
      <w:bookmarkStart w:id="2513" w:name="_Toc337558834"/>
      <w:r>
        <w:rPr>
          <w:rFonts w:hint="eastAsia" w:ascii="宋体" w:hAnsi="宋体" w:cs="宋体"/>
          <w:color w:val="auto"/>
          <w:kern w:val="0"/>
          <w:szCs w:val="21"/>
          <w:highlight w:val="none"/>
          <w:lang w:bidi="ar"/>
        </w:rPr>
        <w:t>义务的一方当事人未</w:t>
      </w:r>
      <w:bookmarkEnd w:id="2513"/>
      <w:r>
        <w:rPr>
          <w:rFonts w:hint="eastAsia" w:ascii="宋体" w:hAnsi="宋体" w:cs="宋体"/>
          <w:color w:val="auto"/>
          <w:kern w:val="0"/>
          <w:szCs w:val="21"/>
          <w:highlight w:val="none"/>
          <w:lang w:bidi="ar"/>
        </w:rPr>
        <w:t>按合同约定办理某项保险，导致受益人未能得到足额赔偿的，由负有投保义务的一方当事人负责按照原应从该项保险得到的保险金数额进行补足。</w:t>
      </w:r>
    </w:p>
    <w:p w14:paraId="0E4606E7">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514" w:name="_Ref4692685"/>
      <w:bookmarkEnd w:id="2514"/>
      <w:r>
        <w:rPr>
          <w:rFonts w:hint="eastAsia" w:ascii="宋体" w:hAnsi="宋体" w:cs="宋体"/>
          <w:color w:val="auto"/>
          <w:szCs w:val="21"/>
          <w:highlight w:val="none"/>
          <w:lang w:bidi="ar"/>
        </w:rPr>
        <w:t>18.5.4通知义务</w:t>
      </w:r>
    </w:p>
    <w:p w14:paraId="1A23448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除专用合同条件另有约定外，任何一方当事人变更除工伤保险之外的保险合同时，应事先征得另一方当事人同意，并通知工程师。</w:t>
      </w:r>
    </w:p>
    <w:p w14:paraId="1D28482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保险事故发生时，投保人应按照保险合同规定的条件和期限及时向保险人报告。发包人和承包人应当在知道保险事故发生后及时通知对方。</w:t>
      </w:r>
    </w:p>
    <w:p w14:paraId="57139DA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双方按本条规定投保不减少双方在合同下的其他义务。</w:t>
      </w:r>
    </w:p>
    <w:p w14:paraId="2F3CE583">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515" w:name="_Toc20171861"/>
      <w:bookmarkEnd w:id="2515"/>
      <w:bookmarkStart w:id="2516" w:name="_Ref11874997"/>
      <w:bookmarkStart w:id="2517" w:name="_Toc170932580"/>
      <w:bookmarkStart w:id="2518" w:name="_Toc660"/>
      <w:r>
        <w:rPr>
          <w:rFonts w:hint="eastAsia" w:ascii="宋体" w:hAnsi="宋体" w:cs="宋体"/>
          <w:color w:val="auto"/>
          <w:kern w:val="0"/>
          <w:szCs w:val="21"/>
          <w:highlight w:val="none"/>
          <w:lang w:bidi="ar"/>
        </w:rPr>
        <w:t>第1</w:t>
      </w:r>
      <w:bookmarkEnd w:id="2516"/>
      <w:r>
        <w:rPr>
          <w:rFonts w:hint="eastAsia" w:ascii="宋体" w:hAnsi="宋体" w:cs="宋体"/>
          <w:color w:val="auto"/>
          <w:kern w:val="0"/>
          <w:szCs w:val="21"/>
          <w:highlight w:val="none"/>
          <w:lang w:bidi="ar"/>
        </w:rPr>
        <w:t>9条  索赔</w:t>
      </w:r>
      <w:bookmarkEnd w:id="2517"/>
      <w:bookmarkEnd w:id="2518"/>
      <w:r>
        <w:rPr>
          <w:rFonts w:hint="eastAsia" w:ascii="宋体" w:hAnsi="宋体" w:cs="宋体"/>
          <w:color w:val="auto"/>
          <w:kern w:val="0"/>
          <w:szCs w:val="21"/>
          <w:highlight w:val="none"/>
          <w:lang w:bidi="ar"/>
        </w:rPr>
        <w:t xml:space="preserve"> </w:t>
      </w:r>
    </w:p>
    <w:p w14:paraId="53B85C2E">
      <w:pPr>
        <w:widowControl/>
        <w:wordWrap w:val="0"/>
        <w:topLinePunct/>
        <w:adjustRightInd w:val="0"/>
        <w:snapToGrid w:val="0"/>
        <w:spacing w:after="163" w:afterLines="50" w:line="360" w:lineRule="auto"/>
        <w:outlineLvl w:val="2"/>
        <w:rPr>
          <w:rFonts w:ascii="宋体" w:hAnsi="宋体" w:cs="宋体"/>
          <w:color w:val="auto"/>
          <w:highlight w:val="none"/>
        </w:rPr>
      </w:pPr>
      <w:bookmarkStart w:id="2519" w:name="_Toc20171862"/>
      <w:bookmarkEnd w:id="2519"/>
      <w:bookmarkStart w:id="2520" w:name="_Ref4798164"/>
      <w:bookmarkEnd w:id="2520"/>
      <w:bookmarkStart w:id="2521" w:name="_Ref4798173"/>
      <w:bookmarkStart w:id="2522" w:name="_Toc20063"/>
      <w:bookmarkStart w:id="2523" w:name="_Toc51766714"/>
      <w:bookmarkStart w:id="2524" w:name="_Toc168"/>
      <w:bookmarkStart w:id="2525" w:name="_Toc84930850"/>
      <w:bookmarkStart w:id="2526" w:name="_Toc58860301"/>
      <w:bookmarkStart w:id="2527" w:name="_Toc170932581"/>
      <w:bookmarkStart w:id="2528" w:name="_Toc13553"/>
      <w:bookmarkStart w:id="2529" w:name="_Toc27067"/>
      <w:r>
        <w:rPr>
          <w:rFonts w:hint="eastAsia" w:ascii="宋体" w:hAnsi="宋体" w:cs="宋体"/>
          <w:color w:val="auto"/>
          <w:szCs w:val="21"/>
          <w:highlight w:val="none"/>
          <w:lang w:bidi="ar"/>
        </w:rPr>
        <w:t>1</w:t>
      </w:r>
      <w:bookmarkEnd w:id="2521"/>
      <w:r>
        <w:rPr>
          <w:rFonts w:hint="eastAsia" w:ascii="宋体" w:hAnsi="宋体" w:cs="宋体"/>
          <w:color w:val="auto"/>
          <w:szCs w:val="21"/>
          <w:highlight w:val="none"/>
          <w:lang w:bidi="ar"/>
        </w:rPr>
        <w:t xml:space="preserve">9.1  </w:t>
      </w:r>
      <w:bookmarkEnd w:id="2522"/>
      <w:bookmarkEnd w:id="2523"/>
      <w:r>
        <w:rPr>
          <w:rFonts w:hint="eastAsia" w:ascii="宋体" w:hAnsi="宋体" w:cs="宋体"/>
          <w:color w:val="auto"/>
          <w:szCs w:val="21"/>
          <w:highlight w:val="none"/>
          <w:lang w:bidi="ar"/>
        </w:rPr>
        <w:t>索赔的提出</w:t>
      </w:r>
      <w:bookmarkEnd w:id="2524"/>
      <w:bookmarkEnd w:id="2525"/>
      <w:bookmarkEnd w:id="2526"/>
      <w:bookmarkEnd w:id="2527"/>
      <w:bookmarkEnd w:id="2528"/>
      <w:bookmarkEnd w:id="2529"/>
    </w:p>
    <w:p w14:paraId="5432E79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根据合同约定，任意一方认为有权得到追加/减少付款、延长缺陷责任期和（或）延长工期的，应按以下程序向对方提出索赔：</w:t>
      </w:r>
    </w:p>
    <w:p w14:paraId="0A445EC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52640F1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（2）索赔方应在发出索赔意向通知书后28天内，向对方正式递交索赔报告；索赔报告应详细说明索赔理由以及要求追加/减少的付款金额、延长缺陷责任期和（或）延长的工期，并附必要的记录和证明材料；</w:t>
      </w:r>
    </w:p>
    <w:p w14:paraId="30BED88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（3）索赔事件具有持续影响的，索赔方应每月递交延续索赔通知，说明持续影响的实际情况和记录，列出累计的追加/减少付款金额、延长缺陷责任期和（或）工期延长天数；</w:t>
      </w:r>
    </w:p>
    <w:p w14:paraId="65D5865F">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bookmarkStart w:id="2530" w:name="_Ref4796178"/>
      <w:bookmarkEnd w:id="2530"/>
      <w:r>
        <w:rPr>
          <w:rFonts w:hint="eastAsia" w:ascii="宋体" w:hAnsi="宋体" w:cs="宋体"/>
          <w:color w:val="auto"/>
          <w:kern w:val="0"/>
          <w:szCs w:val="21"/>
          <w:highlight w:val="none"/>
          <w:lang w:bidi="ar"/>
        </w:rPr>
        <w:t>（4）在索赔事件影响结束后28天内，索赔方应向对方递交最终索赔报告，说明最终要求索赔的追加/减少付款金额、延长缺陷责任期和（或）延长的工期，并附必要的记录和证明材料。</w:t>
      </w:r>
    </w:p>
    <w:p w14:paraId="5DA74E12">
      <w:pPr>
        <w:widowControl/>
        <w:adjustRightInd w:val="0"/>
        <w:snapToGrid w:val="0"/>
        <w:spacing w:after="163" w:afterLines="50" w:line="360" w:lineRule="auto"/>
        <w:ind w:firstLine="420" w:firstLineChars="200"/>
        <w:rPr>
          <w:color w:val="auto"/>
          <w:highlight w:val="none"/>
        </w:rPr>
      </w:pPr>
      <w:r>
        <w:rPr>
          <w:rFonts w:hint="eastAsia"/>
          <w:color w:val="auto"/>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44287B17">
      <w:pPr>
        <w:widowControl/>
        <w:wordWrap w:val="0"/>
        <w:topLinePunct/>
        <w:adjustRightInd w:val="0"/>
        <w:snapToGrid w:val="0"/>
        <w:spacing w:after="163" w:afterLines="50" w:line="360" w:lineRule="auto"/>
        <w:outlineLvl w:val="2"/>
        <w:rPr>
          <w:rFonts w:ascii="宋体" w:hAnsi="宋体" w:cs="宋体"/>
          <w:color w:val="auto"/>
          <w:highlight w:val="none"/>
        </w:rPr>
      </w:pPr>
      <w:bookmarkStart w:id="2531" w:name="_Toc20171863"/>
      <w:bookmarkEnd w:id="2531"/>
      <w:bookmarkStart w:id="2532" w:name="_Ref4796254"/>
      <w:bookmarkEnd w:id="2532"/>
      <w:bookmarkStart w:id="2533" w:name="_Ref4796262"/>
      <w:bookmarkStart w:id="2534" w:name="_Toc58860302"/>
      <w:bookmarkStart w:id="2535" w:name="_Toc170932582"/>
      <w:bookmarkStart w:id="2536" w:name="_Toc29558"/>
      <w:bookmarkStart w:id="2537" w:name="_Toc29047"/>
      <w:bookmarkStart w:id="2538" w:name="_Toc84930851"/>
      <w:bookmarkStart w:id="2539" w:name="_Toc51766715"/>
      <w:bookmarkStart w:id="2540" w:name="_Toc22504"/>
      <w:bookmarkStart w:id="2541" w:name="_Toc1590"/>
      <w:r>
        <w:rPr>
          <w:rFonts w:hint="eastAsia" w:ascii="宋体" w:hAnsi="宋体" w:cs="宋体"/>
          <w:color w:val="auto"/>
          <w:szCs w:val="21"/>
          <w:highlight w:val="none"/>
          <w:lang w:bidi="ar"/>
        </w:rPr>
        <w:t>1</w:t>
      </w:r>
      <w:bookmarkEnd w:id="2533"/>
      <w:r>
        <w:rPr>
          <w:rFonts w:hint="eastAsia" w:ascii="宋体" w:hAnsi="宋体" w:cs="宋体"/>
          <w:color w:val="auto"/>
          <w:szCs w:val="21"/>
          <w:highlight w:val="none"/>
          <w:lang w:bidi="ar"/>
        </w:rPr>
        <w:t>9.2  承包人索赔的处理程序</w:t>
      </w:r>
      <w:bookmarkEnd w:id="2534"/>
      <w:bookmarkEnd w:id="2535"/>
      <w:bookmarkEnd w:id="2536"/>
      <w:bookmarkEnd w:id="2537"/>
      <w:bookmarkEnd w:id="2538"/>
      <w:bookmarkEnd w:id="2539"/>
      <w:bookmarkEnd w:id="2540"/>
      <w:bookmarkEnd w:id="2541"/>
    </w:p>
    <w:p w14:paraId="2364765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（1）工程师收到承包人提交的索赔报告后，应及时审查索赔报告的内容、查验承包人的记录和证明材料，必要时工程师可要求承包人提交全部原始记录副本。</w:t>
      </w:r>
    </w:p>
    <w:p w14:paraId="78197A9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43BB20F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（3）承包人接受索赔处理结果的，发包人应在作出索赔处理结果答复后28天内完成支付。承包人不接受索赔处理结果的，按照第20条[争议解决]约定处理。</w:t>
      </w:r>
    </w:p>
    <w:p w14:paraId="0C417D1B">
      <w:pPr>
        <w:widowControl/>
        <w:wordWrap w:val="0"/>
        <w:topLinePunct/>
        <w:adjustRightInd w:val="0"/>
        <w:snapToGrid w:val="0"/>
        <w:spacing w:after="163" w:afterLines="50" w:line="360" w:lineRule="auto"/>
        <w:outlineLvl w:val="2"/>
        <w:rPr>
          <w:rFonts w:ascii="宋体" w:hAnsi="宋体" w:cs="宋体"/>
          <w:color w:val="auto"/>
          <w:highlight w:val="none"/>
        </w:rPr>
      </w:pPr>
      <w:bookmarkStart w:id="2542" w:name="_Ref16542153"/>
      <w:bookmarkEnd w:id="2542"/>
      <w:bookmarkStart w:id="2543" w:name="_Ref16542123"/>
      <w:bookmarkEnd w:id="2543"/>
      <w:bookmarkStart w:id="2544" w:name="_Toc20171865"/>
      <w:bookmarkEnd w:id="2544"/>
      <w:bookmarkStart w:id="2545" w:name="_Toc28462"/>
      <w:bookmarkStart w:id="2546" w:name="_Toc58860303"/>
      <w:bookmarkStart w:id="2547" w:name="_Toc84930852"/>
      <w:bookmarkStart w:id="2548" w:name="_Toc170932583"/>
      <w:bookmarkStart w:id="2549" w:name="_Toc20950"/>
      <w:bookmarkStart w:id="2550" w:name="_Toc21043"/>
      <w:bookmarkStart w:id="2551" w:name="_Toc51766717"/>
      <w:bookmarkStart w:id="2552" w:name="_Toc20957"/>
      <w:r>
        <w:rPr>
          <w:rFonts w:hint="eastAsia" w:ascii="宋体" w:hAnsi="宋体" w:cs="宋体"/>
          <w:color w:val="auto"/>
          <w:szCs w:val="21"/>
          <w:highlight w:val="none"/>
          <w:lang w:bidi="ar"/>
        </w:rPr>
        <w:t>19.3  发包人索赔的处理程序</w:t>
      </w:r>
      <w:bookmarkEnd w:id="2545"/>
      <w:bookmarkEnd w:id="2546"/>
      <w:bookmarkEnd w:id="2547"/>
      <w:bookmarkEnd w:id="2548"/>
      <w:bookmarkEnd w:id="2549"/>
      <w:bookmarkEnd w:id="2550"/>
      <w:bookmarkEnd w:id="2551"/>
      <w:bookmarkEnd w:id="2552"/>
    </w:p>
    <w:p w14:paraId="79598D9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（1）承包人收到发包人提交的索赔报告后，应及时审查索赔报告的内容、查验发包人证明材料；</w:t>
      </w:r>
    </w:p>
    <w:p w14:paraId="0543052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（2）承包人应在收到上述索赔报告或有关索赔的进一步证明材料后42天内，将索赔处理结果答复发包人。承包人在收到索赔通知书或有关索赔的进一步证明材料后的42天内不予答复的，视为认可索赔。</w:t>
      </w:r>
    </w:p>
    <w:p w14:paraId="7A2A911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（3）发包人接受索赔处理结果的，发包人可从应支付给承包人的合同价款中扣除赔付的金额或延长缺陷责任期；发包人不接受索赔处理结果的，按第20条[争议解决]约定处理。</w:t>
      </w:r>
    </w:p>
    <w:p w14:paraId="3334BA53">
      <w:pPr>
        <w:widowControl/>
        <w:wordWrap w:val="0"/>
        <w:topLinePunct/>
        <w:adjustRightInd w:val="0"/>
        <w:snapToGrid w:val="0"/>
        <w:spacing w:after="163" w:afterLines="50" w:line="360" w:lineRule="auto"/>
        <w:outlineLvl w:val="2"/>
        <w:rPr>
          <w:rFonts w:ascii="宋体" w:hAnsi="宋体" w:cs="宋体"/>
          <w:color w:val="auto"/>
          <w:highlight w:val="none"/>
        </w:rPr>
      </w:pPr>
      <w:bookmarkStart w:id="2553" w:name="_Toc20171866"/>
      <w:bookmarkEnd w:id="2553"/>
      <w:bookmarkStart w:id="2554" w:name="_Toc11385"/>
      <w:bookmarkStart w:id="2555" w:name="_Toc84930853"/>
      <w:bookmarkStart w:id="2556" w:name="_Toc2166"/>
      <w:bookmarkStart w:id="2557" w:name="_Toc12092"/>
      <w:bookmarkStart w:id="2558" w:name="_Toc51766718"/>
      <w:bookmarkStart w:id="2559" w:name="_Toc58860304"/>
      <w:bookmarkStart w:id="2560" w:name="_Toc11875"/>
      <w:bookmarkStart w:id="2561" w:name="_Toc170932584"/>
      <w:r>
        <w:rPr>
          <w:rFonts w:hint="eastAsia" w:ascii="宋体" w:hAnsi="宋体" w:cs="宋体"/>
          <w:color w:val="auto"/>
          <w:szCs w:val="21"/>
          <w:highlight w:val="none"/>
          <w:lang w:bidi="ar"/>
        </w:rPr>
        <w:t>19.4  提出索赔的期限</w:t>
      </w:r>
      <w:bookmarkEnd w:id="2554"/>
      <w:bookmarkEnd w:id="2555"/>
      <w:bookmarkEnd w:id="2556"/>
      <w:bookmarkEnd w:id="2557"/>
      <w:bookmarkEnd w:id="2558"/>
      <w:bookmarkEnd w:id="2559"/>
      <w:bookmarkEnd w:id="2560"/>
      <w:bookmarkEnd w:id="2561"/>
    </w:p>
    <w:p w14:paraId="004BEFD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（1）承包人按第14.5款[竣工结算]约定接收竣工付款证书后，应被认为已无权再提出在合同工程接收证书颁发前所发生的任何索赔。</w:t>
      </w:r>
    </w:p>
    <w:p w14:paraId="2FF5236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（2）承包人按第14.7款[最终结清]提交的最终结清申请单中，只限于提出工程接收证书颁发后发生的索赔。提出索赔的期限均自接受最终结清证书时终止。</w:t>
      </w:r>
    </w:p>
    <w:p w14:paraId="0AD49F05">
      <w:pPr>
        <w:widowControl/>
        <w:wordWrap w:val="0"/>
        <w:topLinePunct/>
        <w:adjustRightInd w:val="0"/>
        <w:snapToGrid w:val="0"/>
        <w:spacing w:after="163" w:afterLines="50" w:line="360" w:lineRule="auto"/>
        <w:outlineLvl w:val="1"/>
        <w:rPr>
          <w:rFonts w:ascii="宋体" w:hAnsi="宋体" w:cs="宋体"/>
          <w:color w:val="auto"/>
          <w:kern w:val="0"/>
          <w:highlight w:val="none"/>
        </w:rPr>
      </w:pPr>
      <w:bookmarkStart w:id="2562" w:name="_Ref532142075"/>
      <w:bookmarkEnd w:id="2562"/>
      <w:bookmarkStart w:id="2563" w:name="_Toc20171867"/>
      <w:bookmarkEnd w:id="2563"/>
      <w:bookmarkStart w:id="2564" w:name="_Ref532197861"/>
      <w:bookmarkStart w:id="2565" w:name="_Toc170932585"/>
      <w:bookmarkStart w:id="2566" w:name="_Toc4673"/>
      <w:r>
        <w:rPr>
          <w:rFonts w:hint="eastAsia" w:ascii="宋体" w:hAnsi="宋体" w:cs="宋体"/>
          <w:color w:val="auto"/>
          <w:kern w:val="0"/>
          <w:szCs w:val="21"/>
          <w:highlight w:val="none"/>
          <w:lang w:bidi="ar"/>
        </w:rPr>
        <w:t>第2</w:t>
      </w:r>
      <w:bookmarkEnd w:id="2564"/>
      <w:r>
        <w:rPr>
          <w:rFonts w:hint="eastAsia" w:ascii="宋体" w:hAnsi="宋体" w:cs="宋体"/>
          <w:color w:val="auto"/>
          <w:kern w:val="0"/>
          <w:szCs w:val="21"/>
          <w:highlight w:val="none"/>
          <w:lang w:bidi="ar"/>
        </w:rPr>
        <w:t>0条  争议解决</w:t>
      </w:r>
      <w:bookmarkEnd w:id="2565"/>
      <w:bookmarkEnd w:id="2566"/>
      <w:r>
        <w:rPr>
          <w:rFonts w:hint="eastAsia" w:ascii="宋体" w:hAnsi="宋体" w:cs="宋体"/>
          <w:color w:val="auto"/>
          <w:kern w:val="0"/>
          <w:szCs w:val="21"/>
          <w:highlight w:val="none"/>
          <w:lang w:bidi="ar"/>
        </w:rPr>
        <w:t xml:space="preserve"> </w:t>
      </w:r>
    </w:p>
    <w:p w14:paraId="7528993F">
      <w:pPr>
        <w:widowControl/>
        <w:wordWrap w:val="0"/>
        <w:topLinePunct/>
        <w:adjustRightInd w:val="0"/>
        <w:snapToGrid w:val="0"/>
        <w:spacing w:after="163" w:afterLines="50" w:line="360" w:lineRule="auto"/>
        <w:outlineLvl w:val="2"/>
        <w:rPr>
          <w:rFonts w:ascii="宋体" w:hAnsi="宋体" w:cs="宋体"/>
          <w:color w:val="auto"/>
          <w:highlight w:val="none"/>
        </w:rPr>
      </w:pPr>
      <w:bookmarkStart w:id="2567" w:name="_Toc20171868"/>
      <w:bookmarkEnd w:id="2567"/>
      <w:bookmarkStart w:id="2568" w:name="_Ref415507198"/>
      <w:bookmarkStart w:id="2569" w:name="_Toc19970"/>
      <w:bookmarkStart w:id="2570" w:name="_Toc18972"/>
      <w:bookmarkStart w:id="2571" w:name="_Toc9119"/>
      <w:bookmarkStart w:id="2572" w:name="_Toc51766720"/>
      <w:bookmarkStart w:id="2573" w:name="_Toc84930855"/>
      <w:bookmarkStart w:id="2574" w:name="_Toc58860306"/>
      <w:bookmarkStart w:id="2575" w:name="_Toc12030"/>
      <w:bookmarkStart w:id="2576" w:name="_Toc170932586"/>
      <w:r>
        <w:rPr>
          <w:rFonts w:hint="eastAsia" w:ascii="宋体" w:hAnsi="宋体" w:cs="宋体"/>
          <w:color w:val="auto"/>
          <w:szCs w:val="21"/>
          <w:highlight w:val="none"/>
          <w:lang w:bidi="ar"/>
        </w:rPr>
        <w:t>2</w:t>
      </w:r>
      <w:bookmarkEnd w:id="2568"/>
      <w:r>
        <w:rPr>
          <w:rFonts w:hint="eastAsia" w:ascii="宋体" w:hAnsi="宋体" w:cs="宋体"/>
          <w:color w:val="auto"/>
          <w:szCs w:val="21"/>
          <w:highlight w:val="none"/>
          <w:lang w:bidi="ar"/>
        </w:rPr>
        <w:t>0.1  和解</w:t>
      </w:r>
      <w:bookmarkEnd w:id="2569"/>
      <w:bookmarkEnd w:id="2570"/>
      <w:bookmarkEnd w:id="2571"/>
      <w:bookmarkEnd w:id="2572"/>
      <w:bookmarkEnd w:id="2573"/>
      <w:bookmarkEnd w:id="2574"/>
      <w:bookmarkEnd w:id="2575"/>
      <w:bookmarkEnd w:id="2576"/>
    </w:p>
    <w:p w14:paraId="7D3BA2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合同当事人可以就争议自行和解，自行和解达成协议的经双方签名并盖章后作为合同补充文件，双方均应遵照执行。</w:t>
      </w:r>
    </w:p>
    <w:p w14:paraId="649890F9">
      <w:pPr>
        <w:widowControl/>
        <w:wordWrap w:val="0"/>
        <w:topLinePunct/>
        <w:adjustRightInd w:val="0"/>
        <w:snapToGrid w:val="0"/>
        <w:spacing w:after="163" w:afterLines="50" w:line="360" w:lineRule="auto"/>
        <w:outlineLvl w:val="2"/>
        <w:rPr>
          <w:rFonts w:ascii="宋体" w:hAnsi="宋体" w:cs="宋体"/>
          <w:color w:val="auto"/>
          <w:highlight w:val="none"/>
        </w:rPr>
      </w:pPr>
      <w:bookmarkStart w:id="2577" w:name="_Toc20171869"/>
      <w:bookmarkEnd w:id="2577"/>
      <w:bookmarkStart w:id="2578" w:name="_Toc84930856"/>
      <w:bookmarkStart w:id="2579" w:name="_Toc51766721"/>
      <w:bookmarkStart w:id="2580" w:name="_Toc20305"/>
      <w:bookmarkStart w:id="2581" w:name="_Toc8638"/>
      <w:bookmarkStart w:id="2582" w:name="_Toc16833"/>
      <w:bookmarkStart w:id="2583" w:name="_Toc170932587"/>
      <w:bookmarkStart w:id="2584" w:name="_Toc445"/>
      <w:bookmarkStart w:id="2585" w:name="_Toc58860307"/>
      <w:r>
        <w:rPr>
          <w:rFonts w:hint="eastAsia" w:ascii="宋体" w:hAnsi="宋体" w:cs="宋体"/>
          <w:color w:val="auto"/>
          <w:szCs w:val="21"/>
          <w:highlight w:val="none"/>
          <w:lang w:bidi="ar"/>
        </w:rPr>
        <w:t>20.2  调解</w:t>
      </w:r>
      <w:bookmarkEnd w:id="2578"/>
      <w:bookmarkEnd w:id="2579"/>
      <w:bookmarkEnd w:id="2580"/>
      <w:bookmarkEnd w:id="2581"/>
      <w:bookmarkEnd w:id="2582"/>
      <w:bookmarkEnd w:id="2583"/>
      <w:bookmarkEnd w:id="2584"/>
      <w:bookmarkEnd w:id="2585"/>
      <w:r>
        <w:rPr>
          <w:rFonts w:hint="eastAsia" w:ascii="宋体" w:hAnsi="宋体" w:cs="宋体"/>
          <w:color w:val="auto"/>
          <w:szCs w:val="21"/>
          <w:highlight w:val="none"/>
          <w:lang w:bidi="ar"/>
        </w:rPr>
        <w:t xml:space="preserve"> </w:t>
      </w:r>
    </w:p>
    <w:p w14:paraId="2FBFAAD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合同当事人可以就争议请求建设行政主管部门、行业协会或其他第三方进行调解，调解达成协议的，经双方签名盖章后作为合同补充文件，双方均应遵照执行。</w:t>
      </w:r>
    </w:p>
    <w:p w14:paraId="162E042A">
      <w:pPr>
        <w:widowControl/>
        <w:wordWrap w:val="0"/>
        <w:topLinePunct/>
        <w:adjustRightInd w:val="0"/>
        <w:snapToGrid w:val="0"/>
        <w:spacing w:after="163" w:afterLines="50" w:line="360" w:lineRule="auto"/>
        <w:outlineLvl w:val="2"/>
        <w:rPr>
          <w:rFonts w:ascii="宋体" w:hAnsi="宋体" w:cs="宋体"/>
          <w:color w:val="auto"/>
          <w:highlight w:val="none"/>
        </w:rPr>
      </w:pPr>
      <w:bookmarkStart w:id="2586" w:name="_Toc20171870"/>
      <w:bookmarkEnd w:id="2586"/>
      <w:bookmarkStart w:id="2587" w:name="_Ref532221532"/>
      <w:bookmarkEnd w:id="2587"/>
      <w:bookmarkStart w:id="2588" w:name="_Ref532221527"/>
      <w:bookmarkStart w:id="2589" w:name="_Toc58860308"/>
      <w:bookmarkStart w:id="2590" w:name="_Toc11295"/>
      <w:bookmarkStart w:id="2591" w:name="_Toc51766722"/>
      <w:bookmarkStart w:id="2592" w:name="_Toc84930857"/>
      <w:bookmarkStart w:id="2593" w:name="_Toc24716"/>
      <w:bookmarkStart w:id="2594" w:name="_Toc11725"/>
      <w:bookmarkStart w:id="2595" w:name="_Toc5384"/>
      <w:bookmarkStart w:id="2596" w:name="_Toc170932588"/>
      <w:r>
        <w:rPr>
          <w:rFonts w:hint="eastAsia" w:ascii="宋体" w:hAnsi="宋体" w:cs="宋体"/>
          <w:color w:val="auto"/>
          <w:szCs w:val="21"/>
          <w:highlight w:val="none"/>
          <w:lang w:bidi="ar"/>
        </w:rPr>
        <w:t>2</w:t>
      </w:r>
      <w:bookmarkEnd w:id="2588"/>
      <w:r>
        <w:rPr>
          <w:rFonts w:hint="eastAsia" w:ascii="宋体" w:hAnsi="宋体" w:cs="宋体"/>
          <w:color w:val="auto"/>
          <w:szCs w:val="21"/>
          <w:highlight w:val="none"/>
          <w:lang w:bidi="ar"/>
        </w:rPr>
        <w:t>0.3  争议评审</w:t>
      </w:r>
      <w:bookmarkEnd w:id="2589"/>
      <w:bookmarkEnd w:id="2590"/>
      <w:bookmarkEnd w:id="2591"/>
      <w:bookmarkEnd w:id="2592"/>
      <w:bookmarkEnd w:id="2593"/>
      <w:bookmarkEnd w:id="2594"/>
      <w:bookmarkEnd w:id="2595"/>
      <w:bookmarkEnd w:id="2596"/>
    </w:p>
    <w:p w14:paraId="3D018A6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合同当事人在专用合同条件中约定采取争议评审方式及评审规则解决争议的，按下列约定执行：</w:t>
      </w:r>
    </w:p>
    <w:p w14:paraId="0F6D5AC1">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20.3.1争议评审小组的确定</w:t>
      </w:r>
    </w:p>
    <w:p w14:paraId="5620D02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7F641EE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7B6A48E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除专用合同条件另有约定外，争议评审员报酬由发包人和承包人各承担一半。</w:t>
      </w:r>
    </w:p>
    <w:p w14:paraId="2368BA78">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597" w:name="_Ref532287270"/>
      <w:bookmarkEnd w:id="2597"/>
      <w:r>
        <w:rPr>
          <w:rFonts w:hint="eastAsia" w:ascii="宋体" w:hAnsi="宋体" w:cs="宋体"/>
          <w:color w:val="auto"/>
          <w:szCs w:val="21"/>
          <w:highlight w:val="none"/>
          <w:lang w:bidi="ar"/>
        </w:rPr>
        <w:t>20.3.2争议的避免</w:t>
      </w:r>
    </w:p>
    <w:p w14:paraId="719DB1C0">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合同当事人协商一致，可以共同书面请求争议评审小组，就合同履行过程中可能出现争议的情况提供协助或进行非正式讨论，争议评审小组应给出公正的意见或建议。</w:t>
      </w:r>
    </w:p>
    <w:p w14:paraId="413A6EE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此类协助或非正式讨论可在任何会议、施工现场视察或其他场合进行，并且除专用合同条件另有约定外，发包人和承包人均应出席。</w:t>
      </w:r>
    </w:p>
    <w:p w14:paraId="01EC7A0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争议评审小组在此类非正式讨论上给出的任何意见或建议，无论是口头还是书面的，对发包人和承包人不具有约束力，争议评审小组在之后的争议评审程序或决定中也不受此类意见或建议的约束。</w:t>
      </w:r>
    </w:p>
    <w:p w14:paraId="785A6C83">
      <w:pPr>
        <w:widowControl/>
        <w:wordWrap w:val="0"/>
        <w:topLinePunct/>
        <w:adjustRightInd w:val="0"/>
        <w:snapToGrid w:val="0"/>
        <w:spacing w:after="163" w:afterLines="50" w:line="360" w:lineRule="auto"/>
        <w:ind w:left="480"/>
        <w:outlineLvl w:val="3"/>
        <w:rPr>
          <w:rFonts w:ascii="宋体" w:hAnsi="宋体" w:cs="宋体"/>
          <w:color w:val="auto"/>
          <w:highlight w:val="none"/>
        </w:rPr>
      </w:pPr>
      <w:bookmarkStart w:id="2598" w:name="_Ref4695594"/>
      <w:bookmarkEnd w:id="2598"/>
      <w:r>
        <w:rPr>
          <w:rFonts w:hint="eastAsia" w:ascii="宋体" w:hAnsi="宋体" w:cs="宋体"/>
          <w:color w:val="auto"/>
          <w:szCs w:val="21"/>
          <w:highlight w:val="none"/>
          <w:lang w:bidi="ar"/>
        </w:rPr>
        <w:t>20.3.3争议评审小组的决定</w:t>
      </w:r>
    </w:p>
    <w:p w14:paraId="4785E24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2923D1E6">
      <w:pPr>
        <w:widowControl/>
        <w:wordWrap w:val="0"/>
        <w:topLinePunct/>
        <w:adjustRightInd w:val="0"/>
        <w:snapToGrid w:val="0"/>
        <w:spacing w:after="163" w:afterLines="50" w:line="360" w:lineRule="auto"/>
        <w:ind w:left="480"/>
        <w:outlineLvl w:val="3"/>
        <w:rPr>
          <w:rFonts w:ascii="宋体" w:hAnsi="宋体" w:cs="宋体"/>
          <w:color w:val="auto"/>
          <w:highlight w:val="none"/>
        </w:rPr>
      </w:pPr>
      <w:r>
        <w:rPr>
          <w:rFonts w:hint="eastAsia" w:ascii="宋体" w:hAnsi="宋体" w:cs="宋体"/>
          <w:color w:val="auto"/>
          <w:szCs w:val="21"/>
          <w:highlight w:val="none"/>
          <w:lang w:bidi="ar"/>
        </w:rPr>
        <w:t>20.3.4争议评审小组决定的效力</w:t>
      </w:r>
    </w:p>
    <w:p w14:paraId="4044AD2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争议评审小组作出的书面决定经合同当事人签名确认后，对双方具有约束力，双方应遵照执行。</w:t>
      </w:r>
    </w:p>
    <w:p w14:paraId="6C27F1D8">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任何一方当事人不接受争议评审小组决定或不履行争议评审小组决定的，双方可选择采用其他争议解决方式。</w:t>
      </w:r>
    </w:p>
    <w:p w14:paraId="3A88A4AF">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任何一方当事人不接受争议评审小组的决定，并不影响暂时执行争议评审小组的决定，直到在后续的采用其他争议解决方式中对争议评审小组的决定进行了改变。</w:t>
      </w:r>
    </w:p>
    <w:p w14:paraId="2479E1EB">
      <w:pPr>
        <w:widowControl/>
        <w:wordWrap w:val="0"/>
        <w:topLinePunct/>
        <w:adjustRightInd w:val="0"/>
        <w:snapToGrid w:val="0"/>
        <w:spacing w:after="163" w:afterLines="50" w:line="360" w:lineRule="auto"/>
        <w:outlineLvl w:val="2"/>
        <w:rPr>
          <w:rFonts w:ascii="宋体" w:hAnsi="宋体" w:cs="宋体"/>
          <w:color w:val="auto"/>
          <w:highlight w:val="none"/>
        </w:rPr>
      </w:pPr>
      <w:bookmarkStart w:id="2599" w:name="_Toc20171871"/>
      <w:bookmarkEnd w:id="2599"/>
      <w:bookmarkStart w:id="2600" w:name="_Ref532221748"/>
      <w:bookmarkEnd w:id="2600"/>
      <w:bookmarkStart w:id="2601" w:name="_Ref532221752"/>
      <w:bookmarkStart w:id="2602" w:name="_Toc51766723"/>
      <w:bookmarkStart w:id="2603" w:name="_Toc170932589"/>
      <w:bookmarkStart w:id="2604" w:name="_Toc58860309"/>
      <w:bookmarkStart w:id="2605" w:name="_Toc12113"/>
      <w:bookmarkStart w:id="2606" w:name="_Toc84930858"/>
      <w:bookmarkStart w:id="2607" w:name="_Toc26665"/>
      <w:bookmarkStart w:id="2608" w:name="_Toc16764"/>
      <w:bookmarkStart w:id="2609" w:name="_Toc9529"/>
      <w:r>
        <w:rPr>
          <w:rFonts w:hint="eastAsia" w:ascii="宋体" w:hAnsi="宋体" w:cs="宋体"/>
          <w:color w:val="auto"/>
          <w:szCs w:val="21"/>
          <w:highlight w:val="none"/>
          <w:lang w:bidi="ar"/>
        </w:rPr>
        <w:t>2</w:t>
      </w:r>
      <w:bookmarkEnd w:id="2601"/>
      <w:r>
        <w:rPr>
          <w:rFonts w:hint="eastAsia" w:ascii="宋体" w:hAnsi="宋体" w:cs="宋体"/>
          <w:color w:val="auto"/>
          <w:szCs w:val="21"/>
          <w:highlight w:val="none"/>
          <w:lang w:bidi="ar"/>
        </w:rPr>
        <w:t>0.4  仲裁或诉讼</w:t>
      </w:r>
      <w:bookmarkEnd w:id="2602"/>
      <w:bookmarkEnd w:id="2603"/>
      <w:bookmarkEnd w:id="2604"/>
      <w:bookmarkEnd w:id="2605"/>
      <w:bookmarkEnd w:id="2606"/>
      <w:bookmarkEnd w:id="2607"/>
      <w:bookmarkEnd w:id="2608"/>
      <w:bookmarkEnd w:id="2609"/>
    </w:p>
    <w:p w14:paraId="508D0AA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因合同及合同有关事项产生的争议，合同当事人可以在专用合同条件中约定以下一种方式解决争议：</w:t>
      </w:r>
    </w:p>
    <w:p w14:paraId="1D6C957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（1）向约定的仲裁委员会申请仲裁；</w:t>
      </w:r>
    </w:p>
    <w:p w14:paraId="2F7FB12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（2）向有管辖权的人民法院起诉。</w:t>
      </w:r>
    </w:p>
    <w:p w14:paraId="4E8412E8">
      <w:pPr>
        <w:widowControl/>
        <w:wordWrap w:val="0"/>
        <w:topLinePunct/>
        <w:adjustRightInd w:val="0"/>
        <w:snapToGrid w:val="0"/>
        <w:spacing w:after="163" w:afterLines="50" w:line="360" w:lineRule="auto"/>
        <w:outlineLvl w:val="2"/>
        <w:rPr>
          <w:rFonts w:ascii="宋体" w:hAnsi="宋体" w:cs="宋体"/>
          <w:color w:val="auto"/>
          <w:highlight w:val="none"/>
        </w:rPr>
      </w:pPr>
      <w:bookmarkStart w:id="2610" w:name="_Toc20171872"/>
      <w:bookmarkEnd w:id="2610"/>
      <w:bookmarkStart w:id="2611" w:name="_Toc15171"/>
      <w:bookmarkStart w:id="2612" w:name="_Toc6499"/>
      <w:bookmarkStart w:id="2613" w:name="_Toc51766724"/>
      <w:bookmarkStart w:id="2614" w:name="_Toc9803"/>
      <w:bookmarkStart w:id="2615" w:name="_Toc11698"/>
      <w:bookmarkStart w:id="2616" w:name="_Toc170932590"/>
      <w:bookmarkStart w:id="2617" w:name="_Toc84930859"/>
      <w:bookmarkStart w:id="2618" w:name="_Toc58860310"/>
      <w:r>
        <w:rPr>
          <w:rFonts w:hint="eastAsia" w:ascii="宋体" w:hAnsi="宋体" w:cs="宋体"/>
          <w:color w:val="auto"/>
          <w:szCs w:val="21"/>
          <w:highlight w:val="none"/>
          <w:lang w:bidi="ar"/>
        </w:rPr>
        <w:t>20.5  争议解决条款效力</w:t>
      </w:r>
      <w:bookmarkEnd w:id="2611"/>
      <w:bookmarkEnd w:id="2612"/>
      <w:bookmarkEnd w:id="2613"/>
      <w:bookmarkEnd w:id="2614"/>
      <w:bookmarkEnd w:id="2615"/>
      <w:bookmarkEnd w:id="2616"/>
      <w:bookmarkEnd w:id="2617"/>
      <w:bookmarkEnd w:id="2618"/>
    </w:p>
    <w:p w14:paraId="4325814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合同有关争议解决的条款独立存在，合同的不生效、无效、被撤销或者终止的，不影响合同中有关争议解决条款的效力。</w:t>
      </w:r>
    </w:p>
    <w:p w14:paraId="4BE42FE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olor w:val="auto"/>
          <w:szCs w:val="21"/>
          <w:highlight w:val="none"/>
          <w:lang w:bidi="ar"/>
        </w:rPr>
        <w:br w:type="page"/>
      </w:r>
    </w:p>
    <w:p w14:paraId="50ACC19A">
      <w:pPr>
        <w:widowControl/>
        <w:adjustRightInd w:val="0"/>
        <w:snapToGrid w:val="0"/>
        <w:spacing w:after="50" w:line="360" w:lineRule="auto"/>
        <w:jc w:val="center"/>
        <w:outlineLvl w:val="0"/>
        <w:rPr>
          <w:rFonts w:ascii="宋体" w:hAnsi="宋体" w:cs="宋体"/>
          <w:b/>
          <w:color w:val="auto"/>
          <w:kern w:val="44"/>
          <w:highlight w:val="none"/>
        </w:rPr>
      </w:pPr>
      <w:bookmarkStart w:id="2619" w:name="_Toc20171873"/>
      <w:bookmarkEnd w:id="2619"/>
      <w:bookmarkStart w:id="2620" w:name="_Toc25273"/>
      <w:bookmarkStart w:id="2621" w:name="_Toc170932591"/>
      <w:r>
        <w:rPr>
          <w:rFonts w:hint="eastAsia" w:ascii="宋体" w:hAnsi="宋体" w:cs="宋体"/>
          <w:b/>
          <w:color w:val="auto"/>
          <w:kern w:val="44"/>
          <w:szCs w:val="21"/>
          <w:highlight w:val="none"/>
          <w:lang w:bidi="ar"/>
        </w:rPr>
        <w:t>第三部分 专用合同条件</w:t>
      </w:r>
      <w:bookmarkEnd w:id="2620"/>
      <w:bookmarkEnd w:id="2621"/>
    </w:p>
    <w:p w14:paraId="122B8E35">
      <w:pPr>
        <w:spacing w:line="360" w:lineRule="auto"/>
        <w:rPr>
          <w:rFonts w:ascii="宋体" w:hAnsi="宋体"/>
          <w:b/>
          <w:color w:val="auto"/>
          <w:kern w:val="44"/>
          <w:szCs w:val="21"/>
          <w:highlight w:val="none"/>
          <w:lang w:bidi="ar"/>
        </w:rPr>
      </w:pPr>
      <w:bookmarkStart w:id="2622" w:name="_Toc20171874"/>
      <w:bookmarkEnd w:id="2622"/>
    </w:p>
    <w:p w14:paraId="0EDDBEDE">
      <w:pPr>
        <w:widowControl/>
        <w:adjustRightInd w:val="0"/>
        <w:snapToGrid w:val="0"/>
        <w:spacing w:after="163" w:afterLines="50" w:line="360" w:lineRule="auto"/>
        <w:outlineLvl w:val="1"/>
        <w:rPr>
          <w:rFonts w:ascii="宋体" w:hAnsi="宋体" w:cs="Times"/>
          <w:color w:val="auto"/>
          <w:kern w:val="0"/>
          <w:highlight w:val="none"/>
        </w:rPr>
      </w:pPr>
      <w:bookmarkStart w:id="2623" w:name="_Toc170932592"/>
      <w:bookmarkStart w:id="2624" w:name="_Toc24764"/>
      <w:r>
        <w:rPr>
          <w:rFonts w:hint="eastAsia" w:ascii="宋体" w:hAnsi="宋体" w:cs="Times"/>
          <w:color w:val="auto"/>
          <w:kern w:val="0"/>
          <w:szCs w:val="21"/>
          <w:highlight w:val="none"/>
        </w:rPr>
        <w:t>第</w:t>
      </w:r>
      <w:r>
        <w:rPr>
          <w:rFonts w:ascii="宋体" w:hAnsi="宋体" w:cs="Times"/>
          <w:color w:val="auto"/>
          <w:kern w:val="0"/>
          <w:szCs w:val="21"/>
          <w:highlight w:val="none"/>
        </w:rPr>
        <w:t>1</w:t>
      </w:r>
      <w:r>
        <w:rPr>
          <w:rFonts w:hint="eastAsia" w:ascii="宋体" w:hAnsi="宋体" w:cs="Times"/>
          <w:color w:val="auto"/>
          <w:kern w:val="0"/>
          <w:szCs w:val="21"/>
          <w:highlight w:val="none"/>
        </w:rPr>
        <w:t>条</w:t>
      </w:r>
      <w:bookmarkStart w:id="2625" w:name="_Toc521267453"/>
      <w:bookmarkEnd w:id="2625"/>
      <w:r>
        <w:rPr>
          <w:rFonts w:hint="eastAsia" w:ascii="宋体" w:hAnsi="宋体" w:cs="Times"/>
          <w:color w:val="auto"/>
          <w:kern w:val="0"/>
          <w:szCs w:val="21"/>
          <w:highlight w:val="none"/>
        </w:rPr>
        <w:t>一般约定</w:t>
      </w:r>
      <w:bookmarkEnd w:id="2623"/>
      <w:bookmarkEnd w:id="2624"/>
    </w:p>
    <w:p w14:paraId="7E8B5DCD">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词语定义和解释</w:t>
      </w:r>
    </w:p>
    <w:p w14:paraId="1FE2CF0D">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1.1.1 </w:t>
      </w:r>
      <w:r>
        <w:rPr>
          <w:rFonts w:hint="eastAsia" w:ascii="宋体" w:hAnsi="宋体" w:cs="宋体"/>
          <w:color w:val="auto"/>
          <w:kern w:val="0"/>
          <w:szCs w:val="21"/>
          <w:highlight w:val="none"/>
        </w:rPr>
        <w:t>合同</w:t>
      </w:r>
    </w:p>
    <w:p w14:paraId="46F218F7">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1.1.1.7</w:t>
      </w:r>
      <w:r>
        <w:rPr>
          <w:rFonts w:hint="eastAsia" w:ascii="宋体" w:hAnsi="宋体" w:cs="宋体"/>
          <w:color w:val="auto"/>
          <w:kern w:val="0"/>
          <w:szCs w:val="21"/>
          <w:highlight w:val="none"/>
        </w:rPr>
        <w:t>项目清单：是指发包人提供的载明工程总承包项目勘察费（如果有）、设计费（如果有）、建筑安装工程费、专业设备材料费（如果有）、暂估价、暂列金额和双方约定的其他费用的名称和相应数量等内容的项目明细。本合同所称“专业设备材料费”是指：为实现项目的生产、处置等特殊功能需要的专业设备材料。</w:t>
      </w:r>
    </w:p>
    <w:p w14:paraId="2F0D654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1.1.1.10 </w:t>
      </w:r>
      <w:r>
        <w:rPr>
          <w:rFonts w:hint="eastAsia" w:ascii="宋体" w:hAnsi="宋体" w:cs="宋体"/>
          <w:color w:val="auto"/>
          <w:kern w:val="0"/>
          <w:szCs w:val="21"/>
          <w:highlight w:val="none"/>
        </w:rPr>
        <w:t>其他合同文件：</w:t>
      </w:r>
      <w:r>
        <w:rPr>
          <w:rFonts w:hint="eastAsia" w:ascii="宋体" w:hAnsi="宋体" w:cs="宋体"/>
          <w:color w:val="auto"/>
          <w:kern w:val="0"/>
          <w:szCs w:val="21"/>
          <w:highlight w:val="none"/>
          <w:u w:val="single"/>
        </w:rPr>
        <w:t>按照合同协议书</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第六条</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约定执行</w:t>
      </w:r>
      <w:r>
        <w:rPr>
          <w:rFonts w:hint="eastAsia" w:ascii="宋体" w:hAnsi="宋体" w:cs="宋体"/>
          <w:color w:val="auto"/>
          <w:kern w:val="0"/>
          <w:szCs w:val="21"/>
          <w:highlight w:val="none"/>
        </w:rPr>
        <w:t>。</w:t>
      </w:r>
    </w:p>
    <w:p w14:paraId="69BAEF88">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本项补充</w:t>
      </w:r>
      <w:r>
        <w:rPr>
          <w:rFonts w:ascii="宋体" w:hAnsi="宋体" w:cs="宋体"/>
          <w:color w:val="auto"/>
          <w:kern w:val="0"/>
          <w:szCs w:val="21"/>
          <w:highlight w:val="none"/>
        </w:rPr>
        <w:t>1.1.1.11</w:t>
      </w:r>
      <w:r>
        <w:rPr>
          <w:rFonts w:hint="eastAsia" w:ascii="宋体" w:hAnsi="宋体" w:cs="宋体"/>
          <w:color w:val="auto"/>
          <w:kern w:val="0"/>
          <w:szCs w:val="21"/>
          <w:highlight w:val="none"/>
        </w:rPr>
        <w:t>～</w:t>
      </w:r>
      <w:r>
        <w:rPr>
          <w:rFonts w:ascii="宋体" w:hAnsi="宋体" w:cs="宋体"/>
          <w:color w:val="auto"/>
          <w:kern w:val="0"/>
          <w:szCs w:val="21"/>
          <w:highlight w:val="none"/>
        </w:rPr>
        <w:t>1.1.1.12</w:t>
      </w:r>
      <w:r>
        <w:rPr>
          <w:rFonts w:hint="eastAsia" w:ascii="宋体" w:hAnsi="宋体" w:cs="宋体"/>
          <w:color w:val="auto"/>
          <w:kern w:val="0"/>
          <w:szCs w:val="21"/>
          <w:highlight w:val="none"/>
        </w:rPr>
        <w:t>目：</w:t>
      </w:r>
    </w:p>
    <w:p w14:paraId="7A25B28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1.1.1.11 </w:t>
      </w:r>
      <w:r>
        <w:rPr>
          <w:rFonts w:hint="eastAsia" w:ascii="宋体" w:hAnsi="宋体" w:cs="宋体"/>
          <w:color w:val="auto"/>
          <w:kern w:val="0"/>
          <w:szCs w:val="21"/>
          <w:highlight w:val="none"/>
        </w:rPr>
        <w:t>比选文件：指本工程的比选文件、图纸、其他技术资料及比选人发出的对比选文件所作的澄清、修改等资料。</w:t>
      </w:r>
    </w:p>
    <w:p w14:paraId="6790FC8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1.1.1.12 </w:t>
      </w:r>
      <w:r>
        <w:rPr>
          <w:rFonts w:hint="eastAsia" w:ascii="宋体" w:hAnsi="宋体" w:cs="宋体"/>
          <w:color w:val="auto"/>
          <w:kern w:val="0"/>
          <w:szCs w:val="21"/>
          <w:highlight w:val="none"/>
        </w:rPr>
        <w:t>比选申请文件：指承包人参与本工程招标所提供的满足比选文件要求的文件及承包人对比选申请文件所作的澄清、修改等资料。</w:t>
      </w:r>
    </w:p>
    <w:p w14:paraId="2463FA3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1.1.2 </w:t>
      </w:r>
      <w:r>
        <w:rPr>
          <w:rFonts w:hint="eastAsia" w:ascii="宋体" w:hAnsi="宋体" w:cs="宋体"/>
          <w:color w:val="auto"/>
          <w:kern w:val="0"/>
          <w:szCs w:val="21"/>
          <w:highlight w:val="none"/>
        </w:rPr>
        <w:t>合同当事人及其他相关方</w:t>
      </w:r>
    </w:p>
    <w:p w14:paraId="649F8E6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本项补充</w:t>
      </w:r>
      <w:r>
        <w:rPr>
          <w:rFonts w:ascii="宋体" w:hAnsi="宋体" w:cs="宋体"/>
          <w:color w:val="auto"/>
          <w:kern w:val="0"/>
          <w:szCs w:val="21"/>
          <w:highlight w:val="none"/>
        </w:rPr>
        <w:t>1.1.2.12</w:t>
      </w:r>
      <w:r>
        <w:rPr>
          <w:rFonts w:hint="eastAsia" w:ascii="宋体" w:hAnsi="宋体" w:cs="宋体"/>
          <w:color w:val="auto"/>
          <w:kern w:val="0"/>
          <w:szCs w:val="21"/>
          <w:highlight w:val="none"/>
        </w:rPr>
        <w:t>～</w:t>
      </w:r>
      <w:r>
        <w:rPr>
          <w:rFonts w:ascii="宋体" w:hAnsi="宋体" w:cs="宋体"/>
          <w:color w:val="auto"/>
          <w:kern w:val="0"/>
          <w:szCs w:val="21"/>
          <w:highlight w:val="none"/>
        </w:rPr>
        <w:t>1.1.2.14</w:t>
      </w:r>
      <w:r>
        <w:rPr>
          <w:rFonts w:hint="eastAsia" w:ascii="宋体" w:hAnsi="宋体" w:cs="宋体"/>
          <w:color w:val="auto"/>
          <w:kern w:val="0"/>
          <w:szCs w:val="21"/>
          <w:highlight w:val="none"/>
        </w:rPr>
        <w:t>目：</w:t>
      </w:r>
    </w:p>
    <w:p w14:paraId="18908CFF">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1.1.2.12 </w:t>
      </w:r>
      <w:r>
        <w:rPr>
          <w:rFonts w:hint="eastAsia" w:ascii="宋体" w:hAnsi="宋体" w:cs="宋体"/>
          <w:color w:val="auto"/>
          <w:kern w:val="0"/>
          <w:szCs w:val="21"/>
          <w:highlight w:val="none"/>
        </w:rPr>
        <w:t>监理人：是指在专用合同条件中指明的，受发包人委托按照法律规定进行工程监督管理的法人或其他组织。</w:t>
      </w:r>
      <w:r>
        <w:rPr>
          <w:rFonts w:hint="eastAsia" w:ascii="宋体" w:hAnsi="宋体" w:cs="宋体"/>
          <w:color w:val="auto"/>
          <w:szCs w:val="21"/>
          <w:highlight w:val="none"/>
        </w:rPr>
        <w:t>属于强制监理项目的，应委托监理人进行工程监督管理。</w:t>
      </w:r>
    </w:p>
    <w:p w14:paraId="075551F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1.1.2.13 </w:t>
      </w:r>
      <w:r>
        <w:rPr>
          <w:rFonts w:hint="eastAsia" w:ascii="宋体" w:hAnsi="宋体" w:cs="宋体"/>
          <w:color w:val="auto"/>
          <w:kern w:val="0"/>
          <w:szCs w:val="21"/>
          <w:highlight w:val="none"/>
        </w:rPr>
        <w:t>设计人：是指在专用合同条件中指明的，受发包人委托负责工程方案设计和初步设计并具备相应工程设计资质的法人或其他组织。</w:t>
      </w:r>
    </w:p>
    <w:p w14:paraId="4E643F9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1.1.2.14 </w:t>
      </w:r>
      <w:r>
        <w:rPr>
          <w:rFonts w:hint="eastAsia" w:ascii="宋体" w:hAnsi="宋体" w:cs="宋体"/>
          <w:color w:val="auto"/>
          <w:kern w:val="0"/>
          <w:szCs w:val="21"/>
          <w:highlight w:val="none"/>
        </w:rPr>
        <w:t>总监理工程师：是指由监理人任命并派驻现场进行工程监理的总负责人。</w:t>
      </w:r>
    </w:p>
    <w:p w14:paraId="2BAD6603">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工程和设备</w:t>
      </w:r>
    </w:p>
    <w:p w14:paraId="7CD4C86A">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1.1.3.5 </w:t>
      </w:r>
      <w:r>
        <w:rPr>
          <w:rFonts w:hint="eastAsia" w:ascii="宋体" w:hAnsi="宋体" w:cs="宋体"/>
          <w:color w:val="auto"/>
          <w:kern w:val="0"/>
          <w:szCs w:val="21"/>
          <w:highlight w:val="none"/>
        </w:rPr>
        <w:t>单位</w:t>
      </w:r>
      <w:r>
        <w:rPr>
          <w:rFonts w:ascii="宋体" w:hAnsi="宋体" w:cs="宋体"/>
          <w:color w:val="auto"/>
          <w:kern w:val="0"/>
          <w:szCs w:val="21"/>
          <w:highlight w:val="none"/>
        </w:rPr>
        <w:t>/</w:t>
      </w:r>
      <w:r>
        <w:rPr>
          <w:rFonts w:hint="eastAsia" w:ascii="宋体" w:hAnsi="宋体" w:cs="宋体"/>
          <w:color w:val="auto"/>
          <w:kern w:val="0"/>
          <w:szCs w:val="21"/>
          <w:highlight w:val="none"/>
        </w:rPr>
        <w:t>区段工程的范围：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CABF2B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1.1.3.9 </w:t>
      </w:r>
      <w:r>
        <w:rPr>
          <w:rFonts w:hint="eastAsia" w:ascii="宋体" w:hAnsi="宋体" w:cs="宋体"/>
          <w:color w:val="auto"/>
          <w:kern w:val="0"/>
          <w:szCs w:val="21"/>
          <w:highlight w:val="none"/>
        </w:rPr>
        <w:t>作为施工场所组成部分的其他场所包括：</w:t>
      </w:r>
      <w:r>
        <w:rPr>
          <w:rFonts w:hint="eastAsia" w:ascii="宋体" w:hAnsi="宋体" w:cs="宋体"/>
          <w:color w:val="auto"/>
          <w:kern w:val="0"/>
          <w:szCs w:val="21"/>
          <w:highlight w:val="none"/>
          <w:u w:val="single"/>
        </w:rPr>
        <w:t>永久占地、临时占地以及为修建临时工程而租用、占用的土地</w:t>
      </w:r>
      <w:r>
        <w:rPr>
          <w:rFonts w:hint="eastAsia" w:ascii="宋体" w:hAnsi="宋体" w:cs="宋体"/>
          <w:color w:val="auto"/>
          <w:kern w:val="0"/>
          <w:szCs w:val="21"/>
          <w:highlight w:val="none"/>
        </w:rPr>
        <w:t>。</w:t>
      </w:r>
    </w:p>
    <w:p w14:paraId="3A377D6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1.1.3.10 </w:t>
      </w:r>
      <w:r>
        <w:rPr>
          <w:rFonts w:hint="eastAsia" w:ascii="宋体" w:hAnsi="宋体" w:cs="宋体"/>
          <w:color w:val="auto"/>
          <w:kern w:val="0"/>
          <w:szCs w:val="21"/>
          <w:highlight w:val="none"/>
        </w:rPr>
        <w:t>永久占地包括：</w:t>
      </w:r>
      <w:r>
        <w:rPr>
          <w:rFonts w:hint="eastAsia" w:ascii="宋体" w:hAnsi="宋体" w:cs="宋体"/>
          <w:color w:val="auto"/>
          <w:kern w:val="0"/>
          <w:szCs w:val="21"/>
          <w:highlight w:val="none"/>
          <w:u w:val="single"/>
        </w:rPr>
        <w:t>为实施合同工程而需要的一切永久占用的土地，即合同工程用地红线范围内的土地</w:t>
      </w:r>
      <w:r>
        <w:rPr>
          <w:rFonts w:hint="eastAsia" w:ascii="宋体" w:hAnsi="宋体" w:cs="宋体"/>
          <w:color w:val="auto"/>
          <w:kern w:val="0"/>
          <w:szCs w:val="21"/>
          <w:highlight w:val="none"/>
        </w:rPr>
        <w:t>。</w:t>
      </w:r>
    </w:p>
    <w:p w14:paraId="2019FEE3">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1.1.3.11</w:t>
      </w:r>
      <w:r>
        <w:rPr>
          <w:rFonts w:hint="eastAsia" w:ascii="宋体" w:hAnsi="宋体" w:cs="宋体"/>
          <w:color w:val="auto"/>
          <w:kern w:val="0"/>
          <w:szCs w:val="21"/>
          <w:highlight w:val="none"/>
        </w:rPr>
        <w:t>临时占地包括：</w:t>
      </w:r>
      <w:r>
        <w:rPr>
          <w:rFonts w:hint="eastAsia" w:ascii="宋体" w:hAnsi="宋体" w:cs="宋体"/>
          <w:color w:val="auto"/>
          <w:kern w:val="0"/>
          <w:szCs w:val="21"/>
          <w:highlight w:val="none"/>
          <w:u w:val="single"/>
        </w:rPr>
        <w:t>为实施合同工程而需要的一切临时占用的土地，包括施工所用的临时便道等的临时出入道，以及生产（办公）、生活等临时设施用地</w:t>
      </w:r>
      <w:r>
        <w:rPr>
          <w:rFonts w:hint="eastAsia" w:ascii="宋体" w:hAnsi="宋体" w:cs="宋体"/>
          <w:color w:val="auto"/>
          <w:kern w:val="0"/>
          <w:szCs w:val="21"/>
          <w:highlight w:val="none"/>
        </w:rPr>
        <w:t>。</w:t>
      </w:r>
    </w:p>
    <w:p w14:paraId="7A70A58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补充</w:t>
      </w:r>
      <w:r>
        <w:rPr>
          <w:rFonts w:ascii="宋体" w:hAnsi="宋体" w:cs="宋体"/>
          <w:color w:val="auto"/>
          <w:kern w:val="0"/>
          <w:szCs w:val="21"/>
          <w:highlight w:val="none"/>
        </w:rPr>
        <w:t>1.1.6.4</w:t>
      </w:r>
      <w:r>
        <w:rPr>
          <w:rFonts w:hint="eastAsia" w:ascii="宋体" w:hAnsi="宋体" w:cs="宋体"/>
          <w:color w:val="auto"/>
          <w:kern w:val="0"/>
          <w:szCs w:val="21"/>
          <w:highlight w:val="none"/>
        </w:rPr>
        <w:t>～</w:t>
      </w:r>
      <w:r>
        <w:rPr>
          <w:rFonts w:ascii="宋体" w:hAnsi="宋体" w:cs="宋体"/>
          <w:color w:val="auto"/>
          <w:kern w:val="0"/>
          <w:szCs w:val="21"/>
          <w:highlight w:val="none"/>
        </w:rPr>
        <w:t>1.1.6.7</w:t>
      </w:r>
      <w:r>
        <w:rPr>
          <w:rFonts w:hint="eastAsia" w:ascii="宋体" w:hAnsi="宋体" w:cs="宋体"/>
          <w:color w:val="auto"/>
          <w:kern w:val="0"/>
          <w:szCs w:val="21"/>
          <w:highlight w:val="none"/>
        </w:rPr>
        <w:t>目：</w:t>
      </w:r>
    </w:p>
    <w:p w14:paraId="36F7E0AC">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1.1.6.4 </w:t>
      </w:r>
      <w:r>
        <w:rPr>
          <w:rFonts w:hint="eastAsia" w:ascii="宋体" w:hAnsi="宋体" w:cs="宋体"/>
          <w:color w:val="auto"/>
          <w:kern w:val="0"/>
          <w:szCs w:val="21"/>
          <w:highlight w:val="none"/>
        </w:rPr>
        <w:t>重大设计变更：指《重庆市房屋建筑和市政基础设施工程勘察设计变更管理办法》规定的以下设计变更：（</w:t>
      </w:r>
      <w:r>
        <w:rPr>
          <w:rFonts w:ascii="宋体" w:hAnsi="宋体" w:cs="宋体"/>
          <w:color w:val="auto"/>
          <w:kern w:val="0"/>
          <w:szCs w:val="21"/>
          <w:highlight w:val="none"/>
        </w:rPr>
        <w:t>1</w:t>
      </w:r>
      <w:r>
        <w:rPr>
          <w:rFonts w:hint="eastAsia" w:ascii="宋体" w:hAnsi="宋体" w:cs="宋体"/>
          <w:color w:val="auto"/>
          <w:kern w:val="0"/>
          <w:szCs w:val="21"/>
          <w:highlight w:val="none"/>
        </w:rPr>
        <w:t>）《重庆市房屋建筑和市政基础设施工程重大设计变更分类表》所列变更内容；（</w:t>
      </w:r>
      <w:r>
        <w:rPr>
          <w:rFonts w:ascii="宋体" w:hAnsi="宋体" w:cs="宋体"/>
          <w:color w:val="auto"/>
          <w:kern w:val="0"/>
          <w:szCs w:val="21"/>
          <w:highlight w:val="none"/>
        </w:rPr>
        <w:t>2</w:t>
      </w:r>
      <w:r>
        <w:rPr>
          <w:rFonts w:hint="eastAsia" w:ascii="宋体" w:hAnsi="宋体" w:cs="宋体"/>
          <w:color w:val="auto"/>
          <w:kern w:val="0"/>
          <w:szCs w:val="21"/>
          <w:highlight w:val="none"/>
        </w:rPr>
        <w:t>）其他涉及工程建设标准强制性条文、公共利益、公众安全的变更内容；（</w:t>
      </w:r>
      <w:r>
        <w:rPr>
          <w:rFonts w:ascii="宋体" w:hAnsi="宋体" w:cs="宋体"/>
          <w:color w:val="auto"/>
          <w:kern w:val="0"/>
          <w:szCs w:val="21"/>
          <w:highlight w:val="none"/>
        </w:rPr>
        <w:t>3</w:t>
      </w:r>
      <w:r>
        <w:rPr>
          <w:rFonts w:hint="eastAsia" w:ascii="宋体" w:hAnsi="宋体" w:cs="宋体"/>
          <w:color w:val="auto"/>
          <w:kern w:val="0"/>
          <w:szCs w:val="21"/>
          <w:highlight w:val="none"/>
        </w:rPr>
        <w:t>）法律、法规、规章规定的其他重大设计变更内容。</w:t>
      </w:r>
    </w:p>
    <w:p w14:paraId="2331BBAD">
      <w:pPr>
        <w:widowControl/>
        <w:adjustRightInd w:val="0"/>
        <w:snapToGrid w:val="0"/>
        <w:spacing w:after="163" w:afterLines="50" w:line="360" w:lineRule="auto"/>
        <w:ind w:firstLine="420" w:firstLineChars="200"/>
        <w:rPr>
          <w:color w:val="auto"/>
          <w:highlight w:val="none"/>
        </w:rPr>
      </w:pPr>
      <w:r>
        <w:rPr>
          <w:rFonts w:ascii="宋体" w:hAnsi="宋体" w:cs="宋体"/>
          <w:color w:val="auto"/>
          <w:kern w:val="0"/>
          <w:szCs w:val="21"/>
          <w:highlight w:val="none"/>
        </w:rPr>
        <w:t>1.1.6.5</w:t>
      </w:r>
      <w:r>
        <w:rPr>
          <w:rFonts w:hint="eastAsia" w:ascii="宋体" w:hAnsi="宋体" w:cs="宋体"/>
          <w:color w:val="auto"/>
          <w:kern w:val="0"/>
          <w:szCs w:val="21"/>
          <w:highlight w:val="none"/>
        </w:rPr>
        <w:t>一般设计变更：指除重大设计变更以外的其它设计变更。</w:t>
      </w:r>
    </w:p>
    <w:p w14:paraId="59F22388">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1.1.6.6</w:t>
      </w:r>
      <w:r>
        <w:rPr>
          <w:rFonts w:hint="eastAsia" w:ascii="宋体" w:hAnsi="宋体" w:cs="宋体"/>
          <w:color w:val="auto"/>
          <w:kern w:val="0"/>
          <w:szCs w:val="21"/>
          <w:highlight w:val="none"/>
        </w:rPr>
        <w:t>转包、违法分包及挂靠：指符合《住房和城乡建设部关于印发建筑工程施工发包与承包违法行为认定查处管理办法的通知》（建市规〔</w:t>
      </w:r>
      <w:r>
        <w:rPr>
          <w:rFonts w:ascii="宋体" w:hAnsi="宋体" w:cs="宋体"/>
          <w:color w:val="auto"/>
          <w:kern w:val="0"/>
          <w:szCs w:val="21"/>
          <w:highlight w:val="none"/>
        </w:rPr>
        <w:t>2019</w:t>
      </w: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号）规定认定条件的违法行为。</w:t>
      </w:r>
    </w:p>
    <w:p w14:paraId="53D97AC9">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1.1.6.7</w:t>
      </w:r>
      <w:r>
        <w:rPr>
          <w:rFonts w:hint="eastAsia" w:ascii="宋体" w:hAnsi="宋体" w:cs="宋体"/>
          <w:color w:val="auto"/>
          <w:kern w:val="0"/>
          <w:szCs w:val="21"/>
          <w:highlight w:val="none"/>
        </w:rPr>
        <w:t>危险性较大的分部分项工程（以下简称“危大工程”）：指住房和城乡建设部令第</w:t>
      </w:r>
      <w:r>
        <w:rPr>
          <w:rFonts w:ascii="宋体" w:hAnsi="宋体" w:cs="宋体"/>
          <w:color w:val="auto"/>
          <w:kern w:val="0"/>
          <w:szCs w:val="21"/>
          <w:highlight w:val="none"/>
        </w:rPr>
        <w:t>37</w:t>
      </w:r>
      <w:r>
        <w:rPr>
          <w:rFonts w:hint="eastAsia" w:ascii="宋体" w:hAnsi="宋体" w:cs="宋体"/>
          <w:color w:val="auto"/>
          <w:kern w:val="0"/>
          <w:szCs w:val="21"/>
          <w:highlight w:val="none"/>
        </w:rPr>
        <w:t>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1FE79A3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1.2 </w:t>
      </w:r>
      <w:r>
        <w:rPr>
          <w:rFonts w:hint="eastAsia" w:ascii="宋体" w:hAnsi="宋体" w:cs="宋体"/>
          <w:color w:val="auto"/>
          <w:kern w:val="0"/>
          <w:szCs w:val="21"/>
          <w:highlight w:val="none"/>
        </w:rPr>
        <w:t>语言文字</w:t>
      </w:r>
    </w:p>
    <w:p w14:paraId="17BC224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本合同除使用汉语外，还使用</w:t>
      </w:r>
      <w:r>
        <w:rPr>
          <w:rFonts w:ascii="宋体" w:hAnsi="宋体" w:cs="宋体"/>
          <w:color w:val="auto"/>
          <w:kern w:val="0"/>
          <w:szCs w:val="21"/>
          <w:highlight w:val="none"/>
          <w:u w:val="single"/>
        </w:rPr>
        <w:t xml:space="preserve"> / </w:t>
      </w:r>
      <w:r>
        <w:rPr>
          <w:rFonts w:hint="eastAsia" w:ascii="宋体" w:hAnsi="宋体" w:cs="宋体"/>
          <w:color w:val="auto"/>
          <w:kern w:val="0"/>
          <w:szCs w:val="21"/>
          <w:highlight w:val="none"/>
        </w:rPr>
        <w:t>语言。</w:t>
      </w:r>
    </w:p>
    <w:p w14:paraId="3DF3B998">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 </w:t>
      </w:r>
      <w:r>
        <w:rPr>
          <w:rFonts w:hint="eastAsia" w:ascii="宋体" w:hAnsi="宋体" w:cs="宋体"/>
          <w:color w:val="auto"/>
          <w:kern w:val="0"/>
          <w:szCs w:val="21"/>
          <w:highlight w:val="none"/>
        </w:rPr>
        <w:t>法律</w:t>
      </w:r>
    </w:p>
    <w:p w14:paraId="0A2E7F1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适用于合同的其他规范性文件：</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0A64B5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 </w:t>
      </w:r>
      <w:r>
        <w:rPr>
          <w:rFonts w:hint="eastAsia" w:ascii="宋体" w:hAnsi="宋体" w:cs="宋体"/>
          <w:color w:val="auto"/>
          <w:kern w:val="0"/>
          <w:szCs w:val="21"/>
          <w:highlight w:val="none"/>
        </w:rPr>
        <w:t>标准和规范</w:t>
      </w:r>
    </w:p>
    <w:p w14:paraId="7D469317">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1.4.1 </w:t>
      </w:r>
      <w:r>
        <w:rPr>
          <w:rFonts w:hint="eastAsia" w:ascii="宋体" w:hAnsi="宋体" w:cs="宋体"/>
          <w:color w:val="auto"/>
          <w:kern w:val="0"/>
          <w:szCs w:val="21"/>
          <w:highlight w:val="none"/>
        </w:rPr>
        <w:t>适用于本合同的标准、规范（名称）包括：</w:t>
      </w:r>
    </w:p>
    <w:p w14:paraId="53C7753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）施工图所涉及的技术标准、规范、规程、图集等；</w:t>
      </w:r>
    </w:p>
    <w:p w14:paraId="151256C0">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）国家、行业或重庆市与本工程有关的标准，以及相应的规范、规程等，当这些标准、规范、规程不一致时，以标准、规范、规程要求最高的为准。</w:t>
      </w:r>
    </w:p>
    <w:p w14:paraId="142EE70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678CC2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1.4.2 </w:t>
      </w:r>
      <w:r>
        <w:rPr>
          <w:rFonts w:hint="eastAsia" w:ascii="宋体" w:hAnsi="宋体" w:cs="宋体"/>
          <w:color w:val="auto"/>
          <w:kern w:val="0"/>
          <w:szCs w:val="21"/>
          <w:highlight w:val="none"/>
        </w:rPr>
        <w:t>发包人提供的国外标准、规范的名称：</w:t>
      </w:r>
      <w:r>
        <w:rPr>
          <w:rFonts w:ascii="宋体" w:hAnsi="宋体" w:cs="宋体"/>
          <w:color w:val="auto"/>
          <w:kern w:val="0"/>
          <w:szCs w:val="21"/>
          <w:highlight w:val="none"/>
          <w:u w:val="single"/>
        </w:rPr>
        <w:t xml:space="preserve"> / </w:t>
      </w:r>
      <w:r>
        <w:rPr>
          <w:rFonts w:hint="eastAsia" w:ascii="宋体" w:hAnsi="宋体" w:cs="宋体"/>
          <w:color w:val="auto"/>
          <w:kern w:val="0"/>
          <w:szCs w:val="21"/>
          <w:highlight w:val="none"/>
        </w:rPr>
        <w:t>；发包人提供的国外标准、规范的份数：</w:t>
      </w:r>
      <w:r>
        <w:rPr>
          <w:rFonts w:ascii="宋体" w:hAnsi="宋体" w:cs="宋体"/>
          <w:color w:val="auto"/>
          <w:kern w:val="0"/>
          <w:szCs w:val="21"/>
          <w:highlight w:val="none"/>
          <w:u w:val="single"/>
        </w:rPr>
        <w:t xml:space="preserve"> / </w:t>
      </w:r>
      <w:r>
        <w:rPr>
          <w:rFonts w:hint="eastAsia" w:ascii="宋体" w:hAnsi="宋体" w:cs="宋体"/>
          <w:color w:val="auto"/>
          <w:kern w:val="0"/>
          <w:szCs w:val="21"/>
          <w:highlight w:val="none"/>
        </w:rPr>
        <w:t>；发包人提供的国外标准、规范的时间：</w:t>
      </w:r>
      <w:r>
        <w:rPr>
          <w:rFonts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FF4AD0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1.4.3 </w:t>
      </w:r>
      <w:r>
        <w:rPr>
          <w:rFonts w:hint="eastAsia" w:ascii="宋体" w:hAnsi="宋体" w:cs="宋体"/>
          <w:color w:val="auto"/>
          <w:kern w:val="0"/>
          <w:szCs w:val="21"/>
          <w:highlight w:val="none"/>
        </w:rPr>
        <w:t>没有成文规范、标准规定的约定：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123643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1.4.4 </w:t>
      </w:r>
      <w:r>
        <w:rPr>
          <w:rFonts w:hint="eastAsia" w:ascii="宋体" w:hAnsi="宋体" w:cs="宋体"/>
          <w:color w:val="auto"/>
          <w:kern w:val="0"/>
          <w:szCs w:val="21"/>
          <w:highlight w:val="none"/>
        </w:rPr>
        <w:t>发包人对于工程的技术标准、功能要求：</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CEDA10D">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合同文件的优先顺序</w:t>
      </w:r>
    </w:p>
    <w:p w14:paraId="7FF7CF5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合同文件组成及优先顺序为：</w:t>
      </w:r>
    </w:p>
    <w:p w14:paraId="7022AB5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）合同协议书；</w:t>
      </w:r>
    </w:p>
    <w:p w14:paraId="1567F8B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）中标通知书（如果有）；</w:t>
      </w:r>
    </w:p>
    <w:p w14:paraId="223BCC2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）投标函及投标函附录（如果有）；</w:t>
      </w:r>
    </w:p>
    <w:p w14:paraId="78697AE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）专用合同条件及《发包人要求》等附件；</w:t>
      </w:r>
    </w:p>
    <w:p w14:paraId="4A2170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）通用合同条件；</w:t>
      </w:r>
    </w:p>
    <w:p w14:paraId="0BD9CF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）比选文件及其澄清修改文件；</w:t>
      </w:r>
    </w:p>
    <w:p w14:paraId="0BB3E77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）比选申请文件和（或）承包人建议书；</w:t>
      </w:r>
    </w:p>
    <w:p w14:paraId="7CC8401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）价格清单；</w:t>
      </w:r>
    </w:p>
    <w:p w14:paraId="6E9FAB2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）双方约定的其他合同文件。</w:t>
      </w:r>
    </w:p>
    <w:p w14:paraId="5915629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1.6 </w:t>
      </w:r>
      <w:r>
        <w:rPr>
          <w:rFonts w:hint="eastAsia" w:ascii="宋体" w:hAnsi="宋体" w:cs="宋体"/>
          <w:color w:val="auto"/>
          <w:kern w:val="0"/>
          <w:szCs w:val="21"/>
          <w:highlight w:val="none"/>
        </w:rPr>
        <w:t>文件的提供和照管</w:t>
      </w:r>
    </w:p>
    <w:p w14:paraId="52628B9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1.6.1 </w:t>
      </w:r>
      <w:r>
        <w:rPr>
          <w:rFonts w:hint="eastAsia" w:ascii="宋体" w:hAnsi="宋体" w:cs="宋体"/>
          <w:color w:val="auto"/>
          <w:kern w:val="0"/>
          <w:szCs w:val="21"/>
          <w:highlight w:val="none"/>
        </w:rPr>
        <w:t>发包人文件的提供</w:t>
      </w:r>
    </w:p>
    <w:p w14:paraId="72764F22">
      <w:pPr>
        <w:widowControl/>
        <w:adjustRightInd w:val="0"/>
        <w:snapToGrid w:val="0"/>
        <w:spacing w:after="163" w:after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发包人文件的提供期限：通用合同条件第</w:t>
      </w:r>
      <w:r>
        <w:rPr>
          <w:rFonts w:ascii="宋体" w:hAnsi="宋体" w:cs="宋体"/>
          <w:color w:val="auto"/>
          <w:kern w:val="0"/>
          <w:szCs w:val="21"/>
          <w:highlight w:val="none"/>
        </w:rPr>
        <w:t>8.1.2</w:t>
      </w:r>
      <w:r>
        <w:rPr>
          <w:rFonts w:hint="eastAsia" w:ascii="宋体" w:hAnsi="宋体" w:cs="宋体"/>
          <w:color w:val="auto"/>
          <w:kern w:val="0"/>
          <w:szCs w:val="21"/>
          <w:highlight w:val="none"/>
        </w:rPr>
        <w:t>项</w:t>
      </w:r>
      <w:r>
        <w:rPr>
          <w:rFonts w:ascii="宋体" w:hAnsi="宋体" w:cs="宋体"/>
          <w:color w:val="auto"/>
          <w:kern w:val="0"/>
          <w:szCs w:val="21"/>
          <w:highlight w:val="none"/>
        </w:rPr>
        <w:t>[</w:t>
      </w:r>
      <w:r>
        <w:rPr>
          <w:rFonts w:hint="eastAsia" w:ascii="宋体" w:hAnsi="宋体" w:cs="宋体"/>
          <w:color w:val="auto"/>
          <w:kern w:val="0"/>
          <w:szCs w:val="21"/>
          <w:highlight w:val="none"/>
        </w:rPr>
        <w:t>开始工作通知</w:t>
      </w:r>
      <w:r>
        <w:rPr>
          <w:rFonts w:ascii="宋体" w:hAnsi="宋体" w:cs="宋体"/>
          <w:color w:val="auto"/>
          <w:kern w:val="0"/>
          <w:szCs w:val="21"/>
          <w:highlight w:val="none"/>
        </w:rPr>
        <w:t>]</w:t>
      </w:r>
      <w:r>
        <w:rPr>
          <w:rFonts w:hint="eastAsia" w:ascii="宋体" w:hAnsi="宋体" w:cs="宋体"/>
          <w:color w:val="auto"/>
          <w:kern w:val="0"/>
          <w:szCs w:val="21"/>
          <w:highlight w:val="none"/>
        </w:rPr>
        <w:t>载明的开始工作日期前</w:t>
      </w:r>
      <w:r>
        <w:rPr>
          <w:rFonts w:ascii="宋体" w:hAnsi="宋体" w:cs="宋体"/>
          <w:color w:val="auto"/>
          <w:kern w:val="0"/>
          <w:szCs w:val="21"/>
          <w:highlight w:val="none"/>
        </w:rPr>
        <w:t>14</w:t>
      </w:r>
      <w:r>
        <w:rPr>
          <w:rFonts w:hint="eastAsia" w:ascii="宋体" w:hAnsi="宋体" w:cs="宋体"/>
          <w:color w:val="auto"/>
          <w:kern w:val="0"/>
          <w:szCs w:val="21"/>
          <w:highlight w:val="none"/>
        </w:rPr>
        <w:t>天；</w:t>
      </w:r>
    </w:p>
    <w:p w14:paraId="3C13A15C">
      <w:pPr>
        <w:widowControl/>
        <w:adjustRightInd w:val="0"/>
        <w:snapToGrid w:val="0"/>
        <w:spacing w:after="163" w:afterLines="50" w:line="360" w:lineRule="auto"/>
        <w:ind w:firstLine="420" w:firstLineChars="200"/>
        <w:jc w:val="left"/>
        <w:rPr>
          <w:color w:val="auto"/>
          <w:highlight w:val="none"/>
        </w:rPr>
      </w:pPr>
      <w:r>
        <w:rPr>
          <w:rFonts w:hint="eastAsia" w:ascii="宋体" w:hAnsi="宋体" w:cs="宋体"/>
          <w:color w:val="auto"/>
          <w:kern w:val="0"/>
          <w:szCs w:val="21"/>
          <w:highlight w:val="none"/>
        </w:rPr>
        <w:t>发包人文件的名称：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A0F41E9">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发包人文件的数量：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0D6BDE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发包人文件的形式：</w:t>
      </w:r>
      <w:r>
        <w:rPr>
          <w:rFonts w:hint="eastAsia" w:ascii="宋体" w:hAnsi="宋体" w:cs="宋体"/>
          <w:color w:val="auto"/>
          <w:kern w:val="0"/>
          <w:szCs w:val="21"/>
          <w:highlight w:val="none"/>
          <w:u w:val="single"/>
        </w:rPr>
        <w:t xml:space="preserve">  纸质和电子形式  </w:t>
      </w:r>
      <w:r>
        <w:rPr>
          <w:rFonts w:hint="eastAsia" w:ascii="宋体" w:hAnsi="宋体" w:cs="宋体"/>
          <w:color w:val="auto"/>
          <w:kern w:val="0"/>
          <w:szCs w:val="21"/>
          <w:highlight w:val="none"/>
        </w:rPr>
        <w:t>。</w:t>
      </w:r>
    </w:p>
    <w:p w14:paraId="5150883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1.6.2 </w:t>
      </w:r>
      <w:r>
        <w:rPr>
          <w:rFonts w:hint="eastAsia" w:ascii="宋体" w:hAnsi="宋体" w:cs="宋体"/>
          <w:color w:val="auto"/>
          <w:kern w:val="0"/>
          <w:szCs w:val="21"/>
          <w:highlight w:val="none"/>
        </w:rPr>
        <w:t>承包人文件的提供</w:t>
      </w:r>
    </w:p>
    <w:p w14:paraId="37E3B94D">
      <w:pPr>
        <w:widowControl/>
        <w:adjustRightInd w:val="0"/>
        <w:snapToGrid w:val="0"/>
        <w:spacing w:after="163" w:after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承包人提供的文件包括：施工图设计成果文件、</w:t>
      </w:r>
      <w:r>
        <w:rPr>
          <w:rFonts w:hint="eastAsia" w:ascii="宋体" w:hAnsi="宋体" w:cs="宋体"/>
          <w:color w:val="auto"/>
          <w:kern w:val="0"/>
          <w:szCs w:val="21"/>
          <w:highlight w:val="none"/>
          <w:lang w:eastAsia="zh-CN"/>
        </w:rPr>
        <w:t>技术方案</w:t>
      </w:r>
      <w:r>
        <w:rPr>
          <w:rFonts w:hint="eastAsia" w:ascii="宋体" w:hAnsi="宋体" w:cs="宋体"/>
          <w:color w:val="auto"/>
          <w:kern w:val="0"/>
          <w:szCs w:val="21"/>
          <w:highlight w:val="none"/>
        </w:rPr>
        <w:t>、专项施工方案、危险性较大分部分项工程施工方案（如有）、安全应急方案、进度计划、报表及计划、竣工资料及施工过程中因工程变更需要报送的施工方案、施工过程中涉及工程价款变更的相关资料、完整的竣工结算资料等。</w:t>
      </w:r>
    </w:p>
    <w:p w14:paraId="031647EE">
      <w:pPr>
        <w:widowControl/>
        <w:adjustRightInd w:val="0"/>
        <w:snapToGrid w:val="0"/>
        <w:spacing w:after="163" w:afterLines="5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承包人文件的提供期限：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施工图设计成果文件需满足比选文件要求，其他由发包人发出的要求或 </w:t>
      </w:r>
    </w:p>
    <w:p w14:paraId="36A54318">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u w:val="single"/>
        </w:rPr>
        <w:t xml:space="preserve">指令后 5 日历天提交 </w:t>
      </w:r>
      <w:r>
        <w:rPr>
          <w:rFonts w:hint="eastAsia" w:ascii="宋体" w:hAnsi="宋体" w:cs="宋体"/>
          <w:color w:val="auto"/>
          <w:kern w:val="0"/>
          <w:szCs w:val="21"/>
          <w:highlight w:val="none"/>
        </w:rPr>
        <w:t xml:space="preserve">  ；</w:t>
      </w:r>
    </w:p>
    <w:p w14:paraId="67BB1954">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承包人文件的数量：</w:t>
      </w:r>
      <w:r>
        <w:rPr>
          <w:rFonts w:hint="eastAsia" w:ascii="宋体" w:hAnsi="宋体" w:cs="宋体"/>
          <w:color w:val="auto"/>
          <w:kern w:val="0"/>
          <w:szCs w:val="21"/>
          <w:highlight w:val="none"/>
          <w:u w:val="single"/>
        </w:rPr>
        <w:t xml:space="preserve"> 5套及以上         </w:t>
      </w:r>
      <w:r>
        <w:rPr>
          <w:rFonts w:hint="eastAsia" w:ascii="宋体" w:hAnsi="宋体" w:cs="宋体"/>
          <w:color w:val="auto"/>
          <w:kern w:val="0"/>
          <w:szCs w:val="21"/>
          <w:highlight w:val="none"/>
        </w:rPr>
        <w:t>；</w:t>
      </w:r>
    </w:p>
    <w:p w14:paraId="47AEBCF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承包人文件的形式：</w:t>
      </w:r>
      <w:r>
        <w:rPr>
          <w:rFonts w:hint="eastAsia" w:ascii="宋体" w:hAnsi="宋体" w:cs="宋体"/>
          <w:color w:val="auto"/>
          <w:kern w:val="0"/>
          <w:szCs w:val="21"/>
          <w:highlight w:val="none"/>
          <w:u w:val="single"/>
        </w:rPr>
        <w:t xml:space="preserve">   纸质和电子形式   </w:t>
      </w:r>
      <w:r>
        <w:rPr>
          <w:rFonts w:hint="eastAsia" w:ascii="宋体" w:hAnsi="宋体" w:cs="宋体"/>
          <w:color w:val="auto"/>
          <w:kern w:val="0"/>
          <w:szCs w:val="21"/>
          <w:highlight w:val="none"/>
        </w:rPr>
        <w:t>。</w:t>
      </w:r>
    </w:p>
    <w:p w14:paraId="52169F7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1.6.4 </w:t>
      </w:r>
      <w:r>
        <w:rPr>
          <w:rFonts w:hint="eastAsia" w:ascii="宋体" w:hAnsi="宋体" w:cs="宋体"/>
          <w:color w:val="auto"/>
          <w:kern w:val="0"/>
          <w:szCs w:val="21"/>
          <w:highlight w:val="none"/>
        </w:rPr>
        <w:t>文件的照管</w:t>
      </w:r>
    </w:p>
    <w:p w14:paraId="30A516E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关于现场文件准备的约定：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0AE5F9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1.7 </w:t>
      </w:r>
      <w:r>
        <w:rPr>
          <w:rFonts w:hint="eastAsia" w:ascii="宋体" w:hAnsi="宋体" w:cs="宋体"/>
          <w:color w:val="auto"/>
          <w:kern w:val="0"/>
          <w:szCs w:val="21"/>
          <w:highlight w:val="none"/>
        </w:rPr>
        <w:t>联络</w:t>
      </w:r>
    </w:p>
    <w:p w14:paraId="5FC48418">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1.7.1 </w:t>
      </w:r>
      <w:r>
        <w:rPr>
          <w:rFonts w:hint="eastAsia" w:ascii="宋体" w:hAnsi="宋体" w:cs="宋体"/>
          <w:color w:val="auto"/>
          <w:kern w:val="0"/>
          <w:szCs w:val="21"/>
          <w:highlight w:val="none"/>
        </w:rPr>
        <w:t>发包人和承包人应当在</w:t>
      </w:r>
      <w:r>
        <w:rPr>
          <w:rFonts w:ascii="宋体" w:hAnsi="宋体" w:cs="宋体"/>
          <w:color w:val="auto"/>
          <w:kern w:val="0"/>
          <w:szCs w:val="21"/>
          <w:highlight w:val="none"/>
        </w:rPr>
        <w:t xml:space="preserve"> 1 </w:t>
      </w:r>
      <w:r>
        <w:rPr>
          <w:rFonts w:hint="eastAsia" w:ascii="宋体" w:hAnsi="宋体" w:cs="宋体"/>
          <w:color w:val="auto"/>
          <w:kern w:val="0"/>
          <w:szCs w:val="21"/>
          <w:highlight w:val="none"/>
        </w:rPr>
        <w:t>天内将与合同有关的通知、批准、证明、证书、指示、指令、要求、请求、同意、意见、确定和决定等函件以书面形式送达对方当事人，并办理书面签收手续。商定采用电子传输方式的函件，双方应商定签收的方式，并留存相应的电子记录；</w:t>
      </w:r>
    </w:p>
    <w:p w14:paraId="6B734B3F">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1.7.2</w:t>
      </w:r>
      <w:r>
        <w:rPr>
          <w:rFonts w:hint="eastAsia" w:ascii="宋体" w:hAnsi="宋体" w:cs="宋体"/>
          <w:color w:val="auto"/>
          <w:kern w:val="0"/>
          <w:szCs w:val="21"/>
          <w:highlight w:val="none"/>
        </w:rPr>
        <w:t>发包人指定的送达方式（包括电子传输方式）：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57BE71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发包人的送达地址：</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DE81B9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发包人的接收人：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EE1F6C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承包人指定的送达方式（包括电子传输方式）：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DDE29B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承包人的送达地址：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8848FE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承包人的接收人：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8DB48C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1.10 </w:t>
      </w:r>
      <w:r>
        <w:rPr>
          <w:rFonts w:hint="eastAsia" w:ascii="宋体" w:hAnsi="宋体" w:cs="宋体"/>
          <w:color w:val="auto"/>
          <w:kern w:val="0"/>
          <w:szCs w:val="21"/>
          <w:highlight w:val="none"/>
        </w:rPr>
        <w:t>知识产权</w:t>
      </w:r>
    </w:p>
    <w:p w14:paraId="499661D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1.10.1 </w:t>
      </w:r>
      <w:r>
        <w:rPr>
          <w:rFonts w:hint="eastAsia" w:ascii="宋体" w:hAnsi="宋体" w:cs="宋体"/>
          <w:color w:val="auto"/>
          <w:kern w:val="0"/>
          <w:szCs w:val="21"/>
          <w:highlight w:val="none"/>
        </w:rPr>
        <w:t>由发包人（或以发包人名义）编制的《发包人要求》和其他文件的著作权归属：</w:t>
      </w:r>
      <w:r>
        <w:rPr>
          <w:rFonts w:hint="eastAsia" w:ascii="宋体" w:hAnsi="宋体" w:cs="宋体"/>
          <w:color w:val="auto"/>
          <w:kern w:val="0"/>
          <w:szCs w:val="21"/>
          <w:highlight w:val="none"/>
          <w:u w:val="single"/>
        </w:rPr>
        <w:t>属于发包人</w:t>
      </w:r>
      <w:r>
        <w:rPr>
          <w:rFonts w:hint="eastAsia" w:ascii="宋体" w:hAnsi="宋体" w:cs="宋体"/>
          <w:color w:val="auto"/>
          <w:kern w:val="0"/>
          <w:szCs w:val="21"/>
          <w:highlight w:val="none"/>
        </w:rPr>
        <w:t>。</w:t>
      </w:r>
    </w:p>
    <w:p w14:paraId="008D02E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1.10.2 </w:t>
      </w:r>
      <w:r>
        <w:rPr>
          <w:rFonts w:hint="eastAsia" w:ascii="宋体" w:hAnsi="宋体" w:cs="宋体"/>
          <w:color w:val="auto"/>
          <w:kern w:val="0"/>
          <w:szCs w:val="21"/>
          <w:highlight w:val="none"/>
        </w:rPr>
        <w:t>由承包人（或以承包人名义）为实施工程所编制的文件、承包人完成的设计工作成果和建造完成的建筑物的知识产权归属：</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97E0ED">
      <w:pPr>
        <w:widowControl/>
        <w:spacing w:line="480" w:lineRule="exact"/>
        <w:ind w:firstLine="420" w:firstLineChars="200"/>
        <w:jc w:val="left"/>
        <w:rPr>
          <w:color w:val="auto"/>
          <w:highlight w:val="none"/>
          <w:u w:val="single"/>
        </w:rPr>
      </w:pPr>
      <w:r>
        <w:rPr>
          <w:rFonts w:ascii="宋体" w:hAnsi="宋体" w:cs="宋体"/>
          <w:color w:val="auto"/>
          <w:kern w:val="0"/>
          <w:szCs w:val="21"/>
          <w:highlight w:val="none"/>
        </w:rPr>
        <w:t xml:space="preserve">1.10.4 </w:t>
      </w:r>
      <w:r>
        <w:rPr>
          <w:rFonts w:hint="eastAsia" w:ascii="宋体" w:hAnsi="宋体" w:cs="宋体"/>
          <w:color w:val="auto"/>
          <w:kern w:val="0"/>
          <w:szCs w:val="21"/>
          <w:highlight w:val="none"/>
        </w:rPr>
        <w:t>承包人在比选申请文件中采用的专利、专有技术、技术秘密的使用费的承担方式：</w:t>
      </w:r>
      <w:r>
        <w:rPr>
          <w:rFonts w:hint="eastAsia" w:ascii="宋体" w:hAnsi="宋体" w:cs="宋体"/>
          <w:color w:val="auto"/>
          <w:kern w:val="0"/>
          <w:szCs w:val="21"/>
          <w:highlight w:val="none"/>
          <w:lang w:bidi="ar"/>
        </w:rPr>
        <w:t>承</w:t>
      </w:r>
      <w:r>
        <w:rPr>
          <w:rFonts w:hint="eastAsia" w:ascii="宋体" w:hAnsi="宋体" w:cs="宋体"/>
          <w:color w:val="auto"/>
          <w:kern w:val="0"/>
          <w:szCs w:val="21"/>
          <w:highlight w:val="none"/>
          <w:u w:val="single"/>
          <w:lang w:bidi="ar"/>
        </w:rPr>
        <w:t xml:space="preserve">包自承 </w:t>
      </w:r>
    </w:p>
    <w:p w14:paraId="3358E0ED">
      <w:pPr>
        <w:widowControl/>
        <w:spacing w:line="480" w:lineRule="exact"/>
        <w:jc w:val="left"/>
        <w:rPr>
          <w:rFonts w:ascii="宋体" w:hAnsi="宋体" w:cs="宋体"/>
          <w:color w:val="auto"/>
          <w:kern w:val="0"/>
          <w:highlight w:val="none"/>
          <w:u w:val="single"/>
        </w:rPr>
      </w:pPr>
      <w:r>
        <w:rPr>
          <w:rFonts w:hint="eastAsia" w:ascii="宋体" w:hAnsi="宋体" w:cs="宋体"/>
          <w:color w:val="auto"/>
          <w:kern w:val="0"/>
          <w:szCs w:val="21"/>
          <w:highlight w:val="none"/>
          <w:u w:val="single"/>
          <w:lang w:bidi="ar"/>
        </w:rPr>
        <w:t>担，发生不另行计取</w:t>
      </w:r>
      <w:r>
        <w:rPr>
          <w:rFonts w:hint="eastAsia" w:ascii="宋体" w:hAnsi="宋体" w:cs="宋体"/>
          <w:color w:val="auto"/>
          <w:kern w:val="0"/>
          <w:szCs w:val="21"/>
          <w:highlight w:val="none"/>
          <w:u w:val="single"/>
        </w:rPr>
        <w:t>。</w:t>
      </w:r>
    </w:p>
    <w:p w14:paraId="6A31E05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1.11 </w:t>
      </w:r>
      <w:r>
        <w:rPr>
          <w:rFonts w:hint="eastAsia" w:ascii="宋体" w:hAnsi="宋体" w:cs="宋体"/>
          <w:color w:val="auto"/>
          <w:kern w:val="0"/>
          <w:szCs w:val="21"/>
          <w:highlight w:val="none"/>
        </w:rPr>
        <w:t>保密</w:t>
      </w:r>
    </w:p>
    <w:p w14:paraId="21A5219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双方订立的商业保密协议（名称）：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，作为本合同附件。</w:t>
      </w:r>
    </w:p>
    <w:p w14:paraId="4596884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双方订立的技术保密协议（名称）：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，作为本合同附件。</w:t>
      </w:r>
    </w:p>
    <w:p w14:paraId="1C8CBC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责任限制</w:t>
      </w:r>
    </w:p>
    <w:p w14:paraId="68A1EE16">
      <w:pPr>
        <w:widowControl/>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承包人对发包人赔偿责任的最高限额为</w:t>
      </w:r>
      <w:r>
        <w:rPr>
          <w:rFonts w:hint="eastAsia" w:ascii="宋体" w:hAnsi="宋体" w:cs="宋体"/>
          <w:color w:val="auto"/>
          <w:kern w:val="0"/>
          <w:szCs w:val="21"/>
          <w:highlight w:val="none"/>
          <w:u w:val="single"/>
          <w:lang w:bidi="ar"/>
        </w:rPr>
        <w:t xml:space="preserve">详见违约条款 </w:t>
      </w:r>
      <w:r>
        <w:rPr>
          <w:rFonts w:hint="eastAsia" w:ascii="宋体" w:hAnsi="宋体" w:cs="宋体"/>
          <w:color w:val="auto"/>
          <w:kern w:val="0"/>
          <w:szCs w:val="21"/>
          <w:highlight w:val="none"/>
        </w:rPr>
        <w:t>。</w:t>
      </w:r>
    </w:p>
    <w:p w14:paraId="5EEA479B">
      <w:pPr>
        <w:widowControl/>
        <w:adjustRightInd w:val="0"/>
        <w:snapToGrid w:val="0"/>
        <w:spacing w:after="163" w:afterLines="50" w:line="360" w:lineRule="auto"/>
        <w:rPr>
          <w:rFonts w:ascii="宋体" w:hAnsi="宋体" w:cs="宋体"/>
          <w:color w:val="auto"/>
          <w:kern w:val="0"/>
          <w:szCs w:val="21"/>
          <w:highlight w:val="none"/>
        </w:rPr>
      </w:pPr>
    </w:p>
    <w:p w14:paraId="5CD6356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1.14 </w:t>
      </w:r>
      <w:r>
        <w:rPr>
          <w:rFonts w:hint="eastAsia" w:ascii="宋体" w:hAnsi="宋体" w:cs="宋体"/>
          <w:color w:val="auto"/>
          <w:kern w:val="0"/>
          <w:szCs w:val="21"/>
          <w:highlight w:val="none"/>
        </w:rPr>
        <w:t>建筑信息模型技术的应用</w:t>
      </w:r>
    </w:p>
    <w:p w14:paraId="3D13065F">
      <w:pPr>
        <w:widowControl/>
        <w:adjustRightInd w:val="0"/>
        <w:snapToGrid w:val="0"/>
        <w:spacing w:after="163" w:afterLines="50"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关于建筑信息模型技术的开发、使用、存储、传输、交付及费用约定如下：</w:t>
      </w:r>
      <w:r>
        <w:rPr>
          <w:rFonts w:hint="eastAsia" w:ascii="宋体" w:hAnsi="宋体" w:cs="宋体"/>
          <w:color w:val="auto"/>
          <w:kern w:val="0"/>
          <w:szCs w:val="21"/>
          <w:highlight w:val="none"/>
          <w:u w:val="single"/>
        </w:rPr>
        <w:t xml:space="preserve"> 承包自承担，发生不另行计取   。</w:t>
      </w:r>
    </w:p>
    <w:p w14:paraId="27A288B3">
      <w:pPr>
        <w:widowControl/>
        <w:adjustRightInd w:val="0"/>
        <w:snapToGrid w:val="0"/>
        <w:spacing w:after="163" w:afterLines="50" w:line="360" w:lineRule="auto"/>
        <w:outlineLvl w:val="1"/>
        <w:rPr>
          <w:rFonts w:ascii="宋体" w:hAnsi="宋体" w:cs="Times"/>
          <w:color w:val="auto"/>
          <w:kern w:val="0"/>
          <w:highlight w:val="none"/>
        </w:rPr>
      </w:pPr>
      <w:bookmarkStart w:id="2626" w:name="_Toc20171875"/>
      <w:bookmarkEnd w:id="2626"/>
      <w:bookmarkStart w:id="2627" w:name="_Toc1113"/>
      <w:bookmarkStart w:id="2628" w:name="_Toc84930862"/>
      <w:bookmarkStart w:id="2629" w:name="_Toc170932593"/>
      <w:r>
        <w:rPr>
          <w:rFonts w:hint="eastAsia" w:ascii="宋体" w:hAnsi="宋体" w:cs="Times"/>
          <w:color w:val="auto"/>
          <w:kern w:val="0"/>
          <w:szCs w:val="21"/>
          <w:highlight w:val="none"/>
        </w:rPr>
        <w:t>第</w:t>
      </w:r>
      <w:r>
        <w:rPr>
          <w:rFonts w:ascii="宋体" w:hAnsi="宋体" w:cs="Times"/>
          <w:color w:val="auto"/>
          <w:kern w:val="0"/>
          <w:szCs w:val="21"/>
          <w:highlight w:val="none"/>
        </w:rPr>
        <w:t>2</w:t>
      </w:r>
      <w:r>
        <w:rPr>
          <w:rFonts w:hint="eastAsia" w:ascii="宋体" w:hAnsi="宋体" w:cs="Times"/>
          <w:color w:val="auto"/>
          <w:kern w:val="0"/>
          <w:szCs w:val="21"/>
          <w:highlight w:val="none"/>
        </w:rPr>
        <w:t>条发包人</w:t>
      </w:r>
      <w:bookmarkEnd w:id="2627"/>
      <w:bookmarkEnd w:id="2628"/>
      <w:bookmarkEnd w:id="2629"/>
    </w:p>
    <w:p w14:paraId="73EC7DB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2.2 </w:t>
      </w:r>
      <w:r>
        <w:rPr>
          <w:rFonts w:hint="eastAsia" w:ascii="宋体" w:hAnsi="宋体" w:cs="宋体"/>
          <w:color w:val="auto"/>
          <w:kern w:val="0"/>
          <w:szCs w:val="21"/>
          <w:highlight w:val="none"/>
        </w:rPr>
        <w:t>提供施工现场和工作条件</w:t>
      </w:r>
    </w:p>
    <w:p w14:paraId="056520F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2.2.1 </w:t>
      </w:r>
      <w:r>
        <w:rPr>
          <w:rFonts w:hint="eastAsia" w:ascii="宋体" w:hAnsi="宋体" w:cs="宋体"/>
          <w:color w:val="auto"/>
          <w:kern w:val="0"/>
          <w:szCs w:val="21"/>
          <w:highlight w:val="none"/>
        </w:rPr>
        <w:t>提供施工现场</w:t>
      </w:r>
    </w:p>
    <w:p w14:paraId="70939B08">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关于发包人提供施工现场的范围和期限，采用以下第</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种方式：</w:t>
      </w:r>
    </w:p>
    <w:p w14:paraId="564FA352">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）一次提供全部施工场地：发包人于开工前向承包人提供合同工程范围内的施工场地。</w:t>
      </w:r>
    </w:p>
    <w:p w14:paraId="7F3CD40F">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（2）分次提供全部施工场地：发包人按约定的时间分次向承包人提供合同工程范围内的施工场地。若分次移交场地影响工期，仅可进行工期索赔，不得进行费用索赔。</w:t>
      </w:r>
    </w:p>
    <w:p w14:paraId="6C3E1352">
      <w:pPr>
        <w:widowControl/>
        <w:adjustRightInd w:val="0"/>
        <w:snapToGrid w:val="0"/>
        <w:spacing w:after="163" w:afterLines="50" w:line="360" w:lineRule="auto"/>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）其他方式：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A0E87C2">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承包人编制的施工组织计划已充分考虑了施工场地提供的因素。</w:t>
      </w:r>
    </w:p>
    <w:p w14:paraId="131E1E8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p>
    <w:p w14:paraId="579E468F">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2.2.2 </w:t>
      </w:r>
      <w:r>
        <w:rPr>
          <w:rFonts w:hint="eastAsia" w:ascii="宋体" w:hAnsi="宋体" w:cs="宋体"/>
          <w:color w:val="auto"/>
          <w:kern w:val="0"/>
          <w:szCs w:val="21"/>
          <w:highlight w:val="none"/>
        </w:rPr>
        <w:t>提供工作条件</w:t>
      </w:r>
    </w:p>
    <w:p w14:paraId="6370F15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关于发包人应负责提供的工作条件包括：</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C9AF3C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2.3 </w:t>
      </w:r>
      <w:r>
        <w:rPr>
          <w:rFonts w:hint="eastAsia" w:ascii="宋体" w:hAnsi="宋体" w:cs="宋体"/>
          <w:color w:val="auto"/>
          <w:kern w:val="0"/>
          <w:szCs w:val="21"/>
          <w:highlight w:val="none"/>
        </w:rPr>
        <w:t>提供基础资料</w:t>
      </w:r>
    </w:p>
    <w:p w14:paraId="6CEBB8B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关于发包人应提供的基础资料的范围和期限：</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37F028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2.5 </w:t>
      </w:r>
      <w:r>
        <w:rPr>
          <w:rFonts w:hint="eastAsia" w:ascii="宋体" w:hAnsi="宋体" w:cs="宋体"/>
          <w:color w:val="auto"/>
          <w:kern w:val="0"/>
          <w:szCs w:val="21"/>
          <w:highlight w:val="none"/>
        </w:rPr>
        <w:t>支付合同价款</w:t>
      </w:r>
    </w:p>
    <w:p w14:paraId="48BB5B5F">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2.5.2</w:t>
      </w:r>
      <w:r>
        <w:rPr>
          <w:rFonts w:hint="eastAsia" w:ascii="宋体" w:hAnsi="宋体" w:cs="宋体"/>
          <w:color w:val="auto"/>
          <w:kern w:val="0"/>
          <w:szCs w:val="21"/>
          <w:highlight w:val="none"/>
        </w:rPr>
        <w:t>发包人提供资金来源证明及资金安排的期限要求：</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14:paraId="11C2948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2.5.3 </w:t>
      </w:r>
      <w:r>
        <w:rPr>
          <w:rFonts w:hint="eastAsia" w:ascii="宋体" w:hAnsi="宋体" w:cs="宋体"/>
          <w:color w:val="auto"/>
          <w:kern w:val="0"/>
          <w:szCs w:val="21"/>
          <w:highlight w:val="none"/>
        </w:rPr>
        <w:t>发包人提供支付担保的形式、金额（或比例）、期限：</w:t>
      </w:r>
    </w:p>
    <w:p w14:paraId="071E8587">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支付担保的形式：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BB75CED">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支付担保的金额（或比例）：</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B89B529">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支付担保的提供时间：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17383F0">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支付担保的担保期限：</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F537DB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支付担保的退还时间：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14362A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2.7 </w:t>
      </w:r>
      <w:r>
        <w:rPr>
          <w:rFonts w:hint="eastAsia" w:ascii="宋体" w:hAnsi="宋体" w:cs="宋体"/>
          <w:color w:val="auto"/>
          <w:kern w:val="0"/>
          <w:szCs w:val="21"/>
          <w:highlight w:val="none"/>
        </w:rPr>
        <w:t>其他义务</w:t>
      </w:r>
    </w:p>
    <w:p w14:paraId="6CAC349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发包人应履行的其他义务：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B951478">
      <w:pPr>
        <w:widowControl/>
        <w:adjustRightInd w:val="0"/>
        <w:snapToGrid w:val="0"/>
        <w:spacing w:after="163" w:afterLines="50" w:line="360" w:lineRule="auto"/>
        <w:outlineLvl w:val="1"/>
        <w:rPr>
          <w:rFonts w:ascii="宋体" w:hAnsi="宋体" w:cs="Times"/>
          <w:color w:val="auto"/>
          <w:kern w:val="0"/>
          <w:highlight w:val="none"/>
        </w:rPr>
      </w:pPr>
      <w:bookmarkStart w:id="2630" w:name="_Toc20171876"/>
      <w:bookmarkEnd w:id="2630"/>
      <w:bookmarkStart w:id="2631" w:name="_Toc170932594"/>
      <w:bookmarkStart w:id="2632" w:name="_Toc84930863"/>
      <w:bookmarkStart w:id="2633" w:name="_Toc8639"/>
      <w:r>
        <w:rPr>
          <w:rFonts w:hint="eastAsia" w:ascii="宋体" w:hAnsi="宋体" w:cs="Times"/>
          <w:color w:val="auto"/>
          <w:kern w:val="0"/>
          <w:szCs w:val="21"/>
          <w:highlight w:val="none"/>
        </w:rPr>
        <w:t>第</w:t>
      </w:r>
      <w:r>
        <w:rPr>
          <w:rFonts w:ascii="宋体" w:hAnsi="宋体" w:cs="Times"/>
          <w:color w:val="auto"/>
          <w:kern w:val="0"/>
          <w:szCs w:val="21"/>
          <w:highlight w:val="none"/>
        </w:rPr>
        <w:t>3</w:t>
      </w:r>
      <w:r>
        <w:rPr>
          <w:rFonts w:hint="eastAsia" w:ascii="宋体" w:hAnsi="宋体" w:cs="Times"/>
          <w:color w:val="auto"/>
          <w:kern w:val="0"/>
          <w:szCs w:val="21"/>
          <w:highlight w:val="none"/>
        </w:rPr>
        <w:t>条发包人的管理</w:t>
      </w:r>
      <w:bookmarkEnd w:id="2631"/>
      <w:bookmarkEnd w:id="2632"/>
      <w:bookmarkEnd w:id="2633"/>
    </w:p>
    <w:p w14:paraId="2DF6E11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3.1 </w:t>
      </w:r>
      <w:r>
        <w:rPr>
          <w:rFonts w:hint="eastAsia" w:ascii="宋体" w:hAnsi="宋体" w:cs="宋体"/>
          <w:color w:val="auto"/>
          <w:kern w:val="0"/>
          <w:szCs w:val="21"/>
          <w:highlight w:val="none"/>
        </w:rPr>
        <w:t>发包人代表</w:t>
      </w:r>
    </w:p>
    <w:p w14:paraId="0ABD0E2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发包人代表的姓名：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233DFD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发包人代表的身份证号：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6D946C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发包人代表的职务：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697AF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发包人代表的联系电话：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7B3306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发包人代表的电子邮箱：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E9CA99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发包人代表的通信地址：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1D8A3D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发包人对发包人代表的授权范围如下：</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165E75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发包人代表的职责：</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125787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发包人人员</w:t>
      </w:r>
    </w:p>
    <w:p w14:paraId="035515A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发包人人员姓名：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784235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发包人人员职务：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4BA36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发包人人员职责：</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E385CF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3.3 </w:t>
      </w:r>
      <w:r>
        <w:rPr>
          <w:rFonts w:hint="eastAsia" w:ascii="宋体" w:hAnsi="宋体" w:cs="宋体"/>
          <w:color w:val="auto"/>
          <w:kern w:val="0"/>
          <w:szCs w:val="21"/>
          <w:highlight w:val="none"/>
        </w:rPr>
        <w:t>工程师</w:t>
      </w:r>
    </w:p>
    <w:p w14:paraId="2F4FF567">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3.3.1</w:t>
      </w:r>
      <w:r>
        <w:rPr>
          <w:rFonts w:hint="eastAsia" w:ascii="宋体" w:hAnsi="宋体" w:cs="宋体"/>
          <w:color w:val="auto"/>
          <w:kern w:val="0"/>
          <w:szCs w:val="21"/>
          <w:highlight w:val="none"/>
        </w:rPr>
        <w:t>工程师（监理人）名称</w:t>
      </w:r>
      <w:r>
        <w:rPr>
          <w:rFonts w:ascii="宋体" w:hAnsi="宋体" w:cs="宋体"/>
          <w:color w:val="auto"/>
          <w:kern w:val="0"/>
          <w:szCs w:val="21"/>
          <w:highlight w:val="none"/>
        </w:rPr>
        <w:t>：</w:t>
      </w:r>
      <w:r>
        <w:rPr>
          <w:rFonts w:hint="eastAsia" w:ascii="宋体" w:hAnsi="宋体" w:cs="宋体"/>
          <w:color w:val="auto"/>
          <w:kern w:val="0"/>
          <w:szCs w:val="21"/>
          <w:highlight w:val="none"/>
          <w:u w:val="single"/>
        </w:rPr>
        <w:t xml:space="preserve">          /              </w:t>
      </w:r>
      <w:r>
        <w:rPr>
          <w:rFonts w:ascii="宋体" w:hAnsi="宋体" w:cs="宋体"/>
          <w:color w:val="auto"/>
          <w:kern w:val="0"/>
          <w:szCs w:val="21"/>
          <w:highlight w:val="none"/>
        </w:rPr>
        <w:t>；</w:t>
      </w:r>
    </w:p>
    <w:p w14:paraId="5BBF92F7">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工程师（监理人）监督管理</w:t>
      </w:r>
      <w:r>
        <w:rPr>
          <w:rFonts w:ascii="宋体" w:hAnsi="宋体" w:cs="宋体"/>
          <w:color w:val="auto"/>
          <w:kern w:val="0"/>
          <w:szCs w:val="21"/>
          <w:highlight w:val="none"/>
        </w:rPr>
        <w:t>范围</w:t>
      </w:r>
      <w:r>
        <w:rPr>
          <w:rFonts w:hint="eastAsia" w:ascii="宋体" w:hAnsi="宋体" w:cs="宋体"/>
          <w:color w:val="auto"/>
          <w:kern w:val="0"/>
          <w:szCs w:val="21"/>
          <w:highlight w:val="none"/>
        </w:rPr>
        <w:t>、内容</w:t>
      </w:r>
      <w:r>
        <w:rPr>
          <w:rFonts w:ascii="宋体" w:hAnsi="宋体" w:cs="宋体"/>
          <w:color w:val="auto"/>
          <w:kern w:val="0"/>
          <w:szCs w:val="21"/>
          <w:highlight w:val="none"/>
        </w:rPr>
        <w:t>：</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A88A0F">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工程师（监理人）</w:t>
      </w:r>
      <w:r>
        <w:rPr>
          <w:rFonts w:ascii="宋体" w:hAnsi="宋体" w:cs="宋体"/>
          <w:color w:val="auto"/>
          <w:kern w:val="0"/>
          <w:szCs w:val="21"/>
          <w:highlight w:val="none"/>
        </w:rPr>
        <w:t>权限：</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5E4946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本合同工程为强制监理项目，采用</w:t>
      </w:r>
      <w:r>
        <w:rPr>
          <w:rFonts w:hint="eastAsia" w:ascii="宋体" w:hAnsi="宋体" w:cs="宋体"/>
          <w:color w:val="auto"/>
          <w:szCs w:val="21"/>
          <w:highlight w:val="none"/>
        </w:rPr>
        <w:t>委托监理人进行工程监督管理的方式。通用合同条件中凡涉及工程师的义务及职责，均为监理人的义务及职责，与《</w:t>
      </w:r>
      <w:r>
        <w:rPr>
          <w:rFonts w:ascii="宋体" w:hAnsi="宋体" w:cs="宋体"/>
          <w:color w:val="auto"/>
          <w:szCs w:val="21"/>
          <w:highlight w:val="none"/>
        </w:rPr>
        <w:t>建设工程监理规范</w:t>
      </w:r>
      <w:r>
        <w:rPr>
          <w:rFonts w:hint="eastAsia" w:ascii="宋体" w:hAnsi="宋体" w:cs="宋体"/>
          <w:color w:val="auto"/>
          <w:szCs w:val="21"/>
          <w:highlight w:val="none"/>
        </w:rPr>
        <w:t>》</w:t>
      </w:r>
      <w:r>
        <w:rPr>
          <w:rFonts w:ascii="宋体" w:hAnsi="宋体" w:cs="宋体"/>
          <w:color w:val="auto"/>
          <w:szCs w:val="21"/>
          <w:highlight w:val="none"/>
        </w:rPr>
        <w:t>（GB/T50319—2013）</w:t>
      </w:r>
      <w:r>
        <w:rPr>
          <w:rFonts w:hint="eastAsia" w:ascii="宋体" w:hAnsi="宋体" w:cs="宋体"/>
          <w:color w:val="auto"/>
          <w:szCs w:val="21"/>
          <w:highlight w:val="none"/>
        </w:rPr>
        <w:t>的</w:t>
      </w:r>
      <w:r>
        <w:rPr>
          <w:rFonts w:hint="eastAsia" w:ascii="宋体" w:hAnsi="宋体" w:cs="宋体"/>
          <w:color w:val="auto"/>
          <w:kern w:val="0"/>
          <w:szCs w:val="21"/>
          <w:highlight w:val="none"/>
        </w:rPr>
        <w:t>相关规定存在不一致的，以</w:t>
      </w:r>
      <w:r>
        <w:rPr>
          <w:rFonts w:hint="eastAsia" w:ascii="宋体" w:hAnsi="宋体" w:cs="宋体"/>
          <w:color w:val="auto"/>
          <w:szCs w:val="21"/>
          <w:highlight w:val="none"/>
        </w:rPr>
        <w:t>《</w:t>
      </w:r>
      <w:r>
        <w:rPr>
          <w:rFonts w:ascii="宋体" w:hAnsi="宋体" w:cs="宋体"/>
          <w:color w:val="auto"/>
          <w:szCs w:val="21"/>
          <w:highlight w:val="none"/>
        </w:rPr>
        <w:t>建设工程监理规范</w:t>
      </w:r>
      <w:r>
        <w:rPr>
          <w:rFonts w:hint="eastAsia" w:ascii="宋体" w:hAnsi="宋体" w:cs="宋体"/>
          <w:color w:val="auto"/>
          <w:szCs w:val="21"/>
          <w:highlight w:val="none"/>
        </w:rPr>
        <w:t>》</w:t>
      </w:r>
      <w:r>
        <w:rPr>
          <w:rFonts w:ascii="宋体" w:hAnsi="宋体" w:cs="宋体"/>
          <w:color w:val="auto"/>
          <w:szCs w:val="21"/>
          <w:highlight w:val="none"/>
        </w:rPr>
        <w:t>（GB/T50319—2013）</w:t>
      </w:r>
      <w:r>
        <w:rPr>
          <w:rFonts w:hint="eastAsia" w:ascii="宋体" w:hAnsi="宋体" w:cs="宋体"/>
          <w:color w:val="auto"/>
          <w:kern w:val="0"/>
          <w:szCs w:val="21"/>
          <w:highlight w:val="none"/>
        </w:rPr>
        <w:t>为准</w:t>
      </w:r>
      <w:r>
        <w:rPr>
          <w:rFonts w:hint="eastAsia" w:ascii="宋体" w:hAnsi="宋体" w:cs="宋体"/>
          <w:color w:val="auto"/>
          <w:szCs w:val="21"/>
          <w:highlight w:val="none"/>
        </w:rPr>
        <w:t>。</w:t>
      </w:r>
    </w:p>
    <w:p w14:paraId="21E8AE66">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增加总监理工程师：</w:t>
      </w:r>
    </w:p>
    <w:p w14:paraId="0C7695C7">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1FF9305">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215E4EC">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监理工程师执业资格证书号：</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E0BD7FC">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E964D7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关于监理人的其他约定：见发包人与监理人就本合同工程订立的监理合同。</w:t>
      </w:r>
    </w:p>
    <w:p w14:paraId="0FAE361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商定或确定</w:t>
      </w:r>
    </w:p>
    <w:p w14:paraId="5AFCA523">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3.6.2 </w:t>
      </w:r>
      <w:r>
        <w:rPr>
          <w:rFonts w:hint="eastAsia" w:ascii="宋体" w:hAnsi="宋体" w:cs="宋体"/>
          <w:color w:val="auto"/>
          <w:kern w:val="0"/>
          <w:szCs w:val="21"/>
          <w:highlight w:val="none"/>
        </w:rPr>
        <w:t>关于商定时间限制的具体约定：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AE4BCC4">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3.6.3 </w:t>
      </w:r>
      <w:r>
        <w:rPr>
          <w:rFonts w:hint="eastAsia" w:ascii="宋体" w:hAnsi="宋体" w:cs="宋体"/>
          <w:color w:val="auto"/>
          <w:kern w:val="0"/>
          <w:szCs w:val="21"/>
          <w:highlight w:val="none"/>
        </w:rPr>
        <w:t>关于商定或确定效力的具体约定：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257839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关于对监理人的确定提出异议的具体约定：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46939B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会议</w:t>
      </w:r>
    </w:p>
    <w:p w14:paraId="7C3D4F0D">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3.7.1 </w:t>
      </w:r>
      <w:r>
        <w:rPr>
          <w:rFonts w:hint="eastAsia" w:ascii="宋体" w:hAnsi="宋体" w:cs="宋体"/>
          <w:color w:val="auto"/>
          <w:kern w:val="0"/>
          <w:szCs w:val="21"/>
          <w:highlight w:val="none"/>
        </w:rPr>
        <w:t>关于召开会议的具体约定：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C1E88D7">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3.7.2 </w:t>
      </w:r>
      <w:r>
        <w:rPr>
          <w:rFonts w:hint="eastAsia" w:ascii="宋体" w:hAnsi="宋体" w:cs="宋体"/>
          <w:color w:val="auto"/>
          <w:kern w:val="0"/>
          <w:szCs w:val="21"/>
          <w:highlight w:val="none"/>
        </w:rPr>
        <w:t>关于保存和提供会议纪要的具体约定：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5C2C7B7">
      <w:pPr>
        <w:widowControl/>
        <w:adjustRightInd w:val="0"/>
        <w:snapToGrid w:val="0"/>
        <w:spacing w:after="163" w:afterLines="50" w:line="360" w:lineRule="auto"/>
        <w:outlineLvl w:val="1"/>
        <w:rPr>
          <w:rFonts w:ascii="宋体" w:hAnsi="宋体" w:cs="Times"/>
          <w:color w:val="auto"/>
          <w:kern w:val="0"/>
          <w:highlight w:val="none"/>
        </w:rPr>
      </w:pPr>
      <w:bookmarkStart w:id="2634" w:name="_Toc20171877"/>
      <w:bookmarkEnd w:id="2634"/>
      <w:bookmarkStart w:id="2635" w:name="_Toc170932595"/>
      <w:bookmarkStart w:id="2636" w:name="_Toc19784"/>
      <w:bookmarkStart w:id="2637" w:name="_Toc84930864"/>
      <w:r>
        <w:rPr>
          <w:rFonts w:hint="eastAsia" w:ascii="宋体" w:hAnsi="宋体" w:cs="Times"/>
          <w:color w:val="auto"/>
          <w:kern w:val="0"/>
          <w:szCs w:val="21"/>
          <w:highlight w:val="none"/>
        </w:rPr>
        <w:t>第</w:t>
      </w:r>
      <w:r>
        <w:rPr>
          <w:rFonts w:ascii="宋体" w:hAnsi="宋体" w:cs="Times"/>
          <w:color w:val="auto"/>
          <w:kern w:val="0"/>
          <w:szCs w:val="21"/>
          <w:highlight w:val="none"/>
        </w:rPr>
        <w:t>4</w:t>
      </w:r>
      <w:r>
        <w:rPr>
          <w:rFonts w:hint="eastAsia" w:ascii="宋体" w:hAnsi="宋体" w:cs="Times"/>
          <w:color w:val="auto"/>
          <w:kern w:val="0"/>
          <w:szCs w:val="21"/>
          <w:highlight w:val="none"/>
        </w:rPr>
        <w:t>条承包人</w:t>
      </w:r>
      <w:bookmarkEnd w:id="2635"/>
      <w:bookmarkEnd w:id="2636"/>
      <w:bookmarkEnd w:id="2637"/>
    </w:p>
    <w:p w14:paraId="5D0EE679">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承包人的一般义务</w:t>
      </w:r>
    </w:p>
    <w:p w14:paraId="35D0F68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承包人应履行的其他义务：</w:t>
      </w:r>
    </w:p>
    <w:p w14:paraId="7FEB1834">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1）在开始施工之前，承包人应核查、复测本工程的各种基准标志。承包人应及时将上述基准标志中存在的错误、不完整或其他缺陷通知发包人，以便发包人核实后重新确认。</w:t>
      </w:r>
    </w:p>
    <w:p w14:paraId="29D0D032">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4206FFA9">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720E4620">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4）承包人应服从发包人要求的管理模式、工作方式和工作要求，同时接受监理人、跟审单位的管理和全程监督，配合项目结、决算的办理。</w:t>
      </w:r>
    </w:p>
    <w:p w14:paraId="7E72AA67">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5）承包人应为本工程开立专用账户，接受发包人的监管。</w:t>
      </w:r>
    </w:p>
    <w:p w14:paraId="76555DFD">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6）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环境与生态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5D010D8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7）承包人提交的竣工资料的内容：工程施工技术资料、工程质量保证资料、工程检验评定资料、竣工图及其他应交资料，应符合《建设工程文件归档整理规范》（GB/T50328-2014）和重庆市有关文件规定。</w:t>
      </w:r>
    </w:p>
    <w:p w14:paraId="63364EFF">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履约担保</w:t>
      </w:r>
    </w:p>
    <w:p w14:paraId="17F1E0A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4.2.1</w:t>
      </w:r>
      <w:r>
        <w:rPr>
          <w:rFonts w:hint="eastAsia" w:ascii="宋体" w:hAnsi="宋体" w:cs="宋体"/>
          <w:color w:val="auto"/>
          <w:kern w:val="0"/>
          <w:szCs w:val="21"/>
          <w:highlight w:val="none"/>
        </w:rPr>
        <w:t>承包人提供履约担保的方式、金额、期限：</w:t>
      </w:r>
    </w:p>
    <w:p w14:paraId="557E9C2D">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（1）承包人是否提供履约担保：提供。 </w:t>
      </w:r>
    </w:p>
    <w:p w14:paraId="03BBD24C">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履约担保的方式：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 号）、《关于进一步规范工程建设领域工 程保函示范文本的通知》（渝公管发〔2022〕26 号）要求的履约保函置换。 </w:t>
      </w:r>
    </w:p>
    <w:p w14:paraId="213DD1F9">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（3）具体要求：履约保函的开立人应当是具有相应资格的银行、保险机构、融资担保公司，其信用 资质、履约能力、担保能力、赔付流程、安全保密等应符合履约保函业务条件。履约保函应合法合规，符合招投标行政监督部门、行业主管部门和金融监管部门的相关规定，满足比选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 能在开立人在渝的总部或者分支机构进行核验。承包人对所提交的履约保函的真实性、合法性、有效性负责。 </w:t>
      </w:r>
    </w:p>
    <w:p w14:paraId="2B097A0D">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（4）履约担保的金额：</w:t>
      </w:r>
      <w:r>
        <w:rPr>
          <w:rFonts w:hint="eastAsia" w:ascii="宋体" w:hAnsi="宋体"/>
          <w:color w:val="auto"/>
          <w:kern w:val="0"/>
          <w:szCs w:val="21"/>
          <w:highlight w:val="none"/>
          <w:u w:val="single"/>
        </w:rPr>
        <w:t>中标合同金额的10%。</w:t>
      </w:r>
    </w:p>
    <w:p w14:paraId="3B924FEC">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（5）履约担保的提交时间：</w:t>
      </w:r>
      <w:r>
        <w:rPr>
          <w:rFonts w:hint="eastAsia" w:ascii="宋体" w:hAnsi="宋体" w:cs="宋体"/>
          <w:color w:val="auto"/>
          <w:kern w:val="0"/>
          <w:szCs w:val="21"/>
          <w:highlight w:val="none"/>
          <w:u w:val="single"/>
        </w:rPr>
        <w:t>在合同订立前，承包人按担保金额向发包人提交履约担保。</w:t>
      </w:r>
      <w:r>
        <w:rPr>
          <w:rFonts w:hint="eastAsia" w:ascii="宋体" w:hAnsi="宋体" w:cs="宋体"/>
          <w:color w:val="auto"/>
          <w:kern w:val="0"/>
          <w:szCs w:val="21"/>
          <w:highlight w:val="none"/>
        </w:rPr>
        <w:t xml:space="preserve"> </w:t>
      </w:r>
    </w:p>
    <w:p w14:paraId="3A37BA6E">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（6）履约担保的期限：</w:t>
      </w:r>
      <w:r>
        <w:rPr>
          <w:rFonts w:hint="eastAsia" w:ascii="宋体" w:hAnsi="宋体" w:cs="宋体"/>
          <w:color w:val="auto"/>
          <w:kern w:val="0"/>
          <w:szCs w:val="21"/>
          <w:highlight w:val="none"/>
          <w:u w:val="single"/>
        </w:rPr>
        <w:t>自提交履约担保之日起至完工验收合格之日止。</w:t>
      </w:r>
      <w:r>
        <w:rPr>
          <w:rFonts w:hint="eastAsia" w:ascii="宋体" w:hAnsi="宋体" w:cs="宋体"/>
          <w:color w:val="auto"/>
          <w:kern w:val="0"/>
          <w:szCs w:val="21"/>
          <w:highlight w:val="none"/>
        </w:rPr>
        <w:t xml:space="preserve"> </w:t>
      </w:r>
    </w:p>
    <w:p w14:paraId="1BB23DC8">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（7）履约担保的退还时间：</w:t>
      </w:r>
      <w:r>
        <w:rPr>
          <w:rFonts w:hint="eastAsia" w:ascii="宋体" w:hAnsi="宋体" w:cs="宋体"/>
          <w:color w:val="auto"/>
          <w:kern w:val="0"/>
          <w:szCs w:val="21"/>
          <w:highlight w:val="none"/>
          <w:u w:val="single"/>
        </w:rPr>
        <w:t>工程完工验收合格后 28 天内退还（不区分担保形式，若为现金担保，不计算利息）。</w:t>
      </w:r>
    </w:p>
    <w:p w14:paraId="42ED81B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4.3 </w:t>
      </w:r>
      <w:r>
        <w:rPr>
          <w:rFonts w:hint="eastAsia" w:ascii="宋体" w:hAnsi="宋体" w:cs="宋体"/>
          <w:color w:val="auto"/>
          <w:kern w:val="0"/>
          <w:szCs w:val="21"/>
          <w:highlight w:val="none"/>
        </w:rPr>
        <w:t>项目经理</w:t>
      </w:r>
    </w:p>
    <w:p w14:paraId="2374C904">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4.3.1 </w:t>
      </w:r>
      <w:r>
        <w:rPr>
          <w:rFonts w:hint="eastAsia" w:ascii="宋体" w:hAnsi="宋体" w:cs="宋体"/>
          <w:color w:val="auto"/>
          <w:kern w:val="0"/>
          <w:szCs w:val="21"/>
          <w:highlight w:val="none"/>
        </w:rPr>
        <w:t>项目经理姓名：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B59458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执业资格或职称类型：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69363E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执业资格证或职称证号码：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F0C262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A5C26B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电子邮箱：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11FDEA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通信地址：。</w:t>
      </w:r>
    </w:p>
    <w:p w14:paraId="19FF975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承包人应在本合同订立前提交与项目经理签订的劳动合同及为项目经理缴纳社会保险的证明，承包人未在限期内提交的，项目经理无权履行职责，发包人有权要求更换项目经理。</w:t>
      </w:r>
    </w:p>
    <w:p w14:paraId="02679DFA">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4.3.2 </w:t>
      </w:r>
      <w:r>
        <w:rPr>
          <w:rFonts w:hint="eastAsia" w:ascii="宋体" w:hAnsi="宋体" w:cs="宋体"/>
          <w:color w:val="auto"/>
          <w:kern w:val="0"/>
          <w:szCs w:val="21"/>
          <w:highlight w:val="none"/>
        </w:rPr>
        <w:t>工项目经理每月在现场的时间要求：</w:t>
      </w:r>
      <w:r>
        <w:rPr>
          <w:rFonts w:hint="eastAsia" w:ascii="宋体" w:hAnsi="宋体" w:cs="宋体"/>
          <w:color w:val="auto"/>
          <w:kern w:val="0"/>
          <w:szCs w:val="21"/>
          <w:highlight w:val="none"/>
          <w:u w:val="single"/>
        </w:rPr>
        <w:t>不少于22天，由监理人负责工程项目经理的考勤</w:t>
      </w:r>
      <w:r>
        <w:rPr>
          <w:rFonts w:hint="eastAsia" w:ascii="宋体" w:hAnsi="宋体" w:cs="宋体"/>
          <w:color w:val="auto"/>
          <w:kern w:val="0"/>
          <w:szCs w:val="21"/>
          <w:highlight w:val="none"/>
        </w:rPr>
        <w:t>。</w:t>
      </w:r>
    </w:p>
    <w:p w14:paraId="558BCC3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工程项目经理未经批准擅自离开施工现场的违约责任：按照第</w:t>
      </w:r>
      <w:r>
        <w:rPr>
          <w:rFonts w:ascii="宋体" w:hAnsi="宋体" w:cs="宋体"/>
          <w:color w:val="auto"/>
          <w:kern w:val="0"/>
          <w:szCs w:val="21"/>
          <w:highlight w:val="none"/>
        </w:rPr>
        <w:t>15.2</w:t>
      </w:r>
      <w:r>
        <w:rPr>
          <w:rFonts w:hint="eastAsia" w:ascii="宋体" w:hAnsi="宋体" w:cs="宋体"/>
          <w:color w:val="auto"/>
          <w:kern w:val="0"/>
          <w:szCs w:val="21"/>
          <w:highlight w:val="none"/>
        </w:rPr>
        <w:t>款</w:t>
      </w:r>
      <w:r>
        <w:rPr>
          <w:rFonts w:ascii="宋体" w:hAnsi="宋体" w:cs="宋体"/>
          <w:color w:val="auto"/>
          <w:kern w:val="0"/>
          <w:szCs w:val="21"/>
          <w:highlight w:val="none"/>
        </w:rPr>
        <w:t>[</w:t>
      </w:r>
      <w:r>
        <w:rPr>
          <w:rFonts w:hint="eastAsia" w:ascii="宋体" w:hAnsi="宋体" w:cs="宋体"/>
          <w:color w:val="auto"/>
          <w:kern w:val="0"/>
          <w:szCs w:val="21"/>
          <w:highlight w:val="none"/>
        </w:rPr>
        <w:t>承包人违约</w:t>
      </w:r>
      <w:r>
        <w:rPr>
          <w:rFonts w:ascii="宋体" w:hAnsi="宋体" w:cs="宋体"/>
          <w:color w:val="auto"/>
          <w:kern w:val="0"/>
          <w:szCs w:val="21"/>
          <w:highlight w:val="none"/>
        </w:rPr>
        <w:t>]</w:t>
      </w:r>
      <w:r>
        <w:rPr>
          <w:rFonts w:hint="eastAsia" w:ascii="宋体" w:hAnsi="宋体" w:cs="宋体"/>
          <w:color w:val="auto"/>
          <w:kern w:val="0"/>
          <w:szCs w:val="21"/>
          <w:highlight w:val="none"/>
        </w:rPr>
        <w:t>约定执行。</w:t>
      </w:r>
    </w:p>
    <w:p w14:paraId="413BA043">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4.3.3 </w:t>
      </w:r>
      <w:r>
        <w:rPr>
          <w:rFonts w:hint="eastAsia" w:ascii="宋体" w:hAnsi="宋体" w:cs="宋体"/>
          <w:color w:val="auto"/>
          <w:kern w:val="0"/>
          <w:szCs w:val="21"/>
          <w:highlight w:val="none"/>
        </w:rPr>
        <w:t>承包人对工程项目经理的授权范围</w:t>
      </w:r>
      <w:r>
        <w:rPr>
          <w:rFonts w:ascii="宋体" w:hAnsi="宋体" w:cs="宋体"/>
          <w:color w:val="auto"/>
          <w:kern w:val="0"/>
          <w:szCs w:val="21"/>
          <w:highlight w:val="none"/>
        </w:rPr>
        <w:t>:</w:t>
      </w:r>
      <w:r>
        <w:rPr>
          <w:rFonts w:hint="eastAsia" w:ascii="宋体" w:hAnsi="宋体" w:cs="宋体"/>
          <w:color w:val="auto"/>
          <w:kern w:val="0"/>
          <w:szCs w:val="21"/>
          <w:highlight w:val="none"/>
          <w:u w:val="single"/>
        </w:rPr>
        <w:t>严格按《发包人要求》、现行国家设计规范、施工规范及验收规范组织设计、采购和施工，保证工程质量、进度、安全；及时向监理人、发包人报告现场情况（以承包人书面授权范围为准）</w:t>
      </w:r>
      <w:r>
        <w:rPr>
          <w:rFonts w:hint="eastAsia" w:ascii="宋体" w:hAnsi="宋体" w:cs="宋体"/>
          <w:color w:val="auto"/>
          <w:kern w:val="0"/>
          <w:szCs w:val="21"/>
          <w:highlight w:val="none"/>
        </w:rPr>
        <w:t>。</w:t>
      </w:r>
    </w:p>
    <w:p w14:paraId="1152ADB4">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4.3.4 </w:t>
      </w:r>
      <w:r>
        <w:rPr>
          <w:rFonts w:hint="eastAsia" w:ascii="宋体" w:hAnsi="宋体" w:cs="宋体"/>
          <w:color w:val="auto"/>
          <w:kern w:val="0"/>
          <w:szCs w:val="21"/>
          <w:highlight w:val="none"/>
        </w:rPr>
        <w:t>承包人擅自更换工程项目经理的违约责任：按照第</w:t>
      </w:r>
      <w:r>
        <w:rPr>
          <w:rFonts w:ascii="宋体" w:hAnsi="宋体" w:cs="宋体"/>
          <w:color w:val="auto"/>
          <w:kern w:val="0"/>
          <w:szCs w:val="21"/>
          <w:highlight w:val="none"/>
        </w:rPr>
        <w:t>15.2</w:t>
      </w:r>
      <w:r>
        <w:rPr>
          <w:rFonts w:hint="eastAsia" w:ascii="宋体" w:hAnsi="宋体" w:cs="宋体"/>
          <w:color w:val="auto"/>
          <w:kern w:val="0"/>
          <w:szCs w:val="21"/>
          <w:highlight w:val="none"/>
        </w:rPr>
        <w:t>款</w:t>
      </w:r>
      <w:r>
        <w:rPr>
          <w:rFonts w:ascii="宋体" w:hAnsi="宋体" w:cs="宋体"/>
          <w:color w:val="auto"/>
          <w:kern w:val="0"/>
          <w:szCs w:val="21"/>
          <w:highlight w:val="none"/>
        </w:rPr>
        <w:t>[</w:t>
      </w:r>
      <w:r>
        <w:rPr>
          <w:rFonts w:hint="eastAsia" w:ascii="宋体" w:hAnsi="宋体" w:cs="宋体"/>
          <w:color w:val="auto"/>
          <w:kern w:val="0"/>
          <w:szCs w:val="21"/>
          <w:highlight w:val="none"/>
        </w:rPr>
        <w:t>承包人违约</w:t>
      </w:r>
      <w:r>
        <w:rPr>
          <w:rFonts w:ascii="宋体" w:hAnsi="宋体" w:cs="宋体"/>
          <w:color w:val="auto"/>
          <w:kern w:val="0"/>
          <w:szCs w:val="21"/>
          <w:highlight w:val="none"/>
        </w:rPr>
        <w:t>]</w:t>
      </w:r>
      <w:r>
        <w:rPr>
          <w:rFonts w:hint="eastAsia" w:ascii="宋体" w:hAnsi="宋体" w:cs="宋体"/>
          <w:color w:val="auto"/>
          <w:kern w:val="0"/>
          <w:szCs w:val="21"/>
          <w:highlight w:val="none"/>
        </w:rPr>
        <w:t>约定执行。</w:t>
      </w:r>
    </w:p>
    <w:p w14:paraId="7DF02DA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4.3.5 </w:t>
      </w:r>
      <w:r>
        <w:rPr>
          <w:rFonts w:hint="eastAsia" w:ascii="宋体" w:hAnsi="宋体" w:cs="宋体"/>
          <w:color w:val="auto"/>
          <w:kern w:val="0"/>
          <w:szCs w:val="21"/>
          <w:highlight w:val="none"/>
        </w:rPr>
        <w:t>承包人无正当理由拒绝更换工程项目经理的违约责任</w:t>
      </w:r>
      <w:r>
        <w:rPr>
          <w:rFonts w:ascii="宋体" w:hAnsi="宋体" w:cs="宋体"/>
          <w:color w:val="auto"/>
          <w:kern w:val="0"/>
          <w:szCs w:val="21"/>
          <w:highlight w:val="none"/>
        </w:rPr>
        <w:t>:</w:t>
      </w:r>
      <w:r>
        <w:rPr>
          <w:rFonts w:hint="eastAsia" w:ascii="宋体" w:hAnsi="宋体" w:cs="宋体"/>
          <w:color w:val="auto"/>
          <w:kern w:val="0"/>
          <w:szCs w:val="21"/>
          <w:highlight w:val="none"/>
        </w:rPr>
        <w:t>按照第</w:t>
      </w:r>
      <w:r>
        <w:rPr>
          <w:rFonts w:ascii="宋体" w:hAnsi="宋体" w:cs="宋体"/>
          <w:color w:val="auto"/>
          <w:kern w:val="0"/>
          <w:szCs w:val="21"/>
          <w:highlight w:val="none"/>
        </w:rPr>
        <w:t>15.2</w:t>
      </w:r>
      <w:r>
        <w:rPr>
          <w:rFonts w:hint="eastAsia" w:ascii="宋体" w:hAnsi="宋体" w:cs="宋体"/>
          <w:color w:val="auto"/>
          <w:kern w:val="0"/>
          <w:szCs w:val="21"/>
          <w:highlight w:val="none"/>
        </w:rPr>
        <w:t>款</w:t>
      </w:r>
      <w:r>
        <w:rPr>
          <w:rFonts w:ascii="宋体" w:hAnsi="宋体" w:cs="宋体"/>
          <w:color w:val="auto"/>
          <w:kern w:val="0"/>
          <w:szCs w:val="21"/>
          <w:highlight w:val="none"/>
        </w:rPr>
        <w:t>[</w:t>
      </w:r>
      <w:r>
        <w:rPr>
          <w:rFonts w:hint="eastAsia" w:ascii="宋体" w:hAnsi="宋体" w:cs="宋体"/>
          <w:color w:val="auto"/>
          <w:kern w:val="0"/>
          <w:szCs w:val="21"/>
          <w:highlight w:val="none"/>
        </w:rPr>
        <w:t>承包人违约</w:t>
      </w:r>
      <w:r>
        <w:rPr>
          <w:rFonts w:ascii="宋体" w:hAnsi="宋体" w:cs="宋体"/>
          <w:color w:val="auto"/>
          <w:kern w:val="0"/>
          <w:szCs w:val="21"/>
          <w:highlight w:val="none"/>
        </w:rPr>
        <w:t>]</w:t>
      </w:r>
      <w:r>
        <w:rPr>
          <w:rFonts w:hint="eastAsia" w:ascii="宋体" w:hAnsi="宋体" w:cs="宋体"/>
          <w:color w:val="auto"/>
          <w:kern w:val="0"/>
          <w:szCs w:val="21"/>
          <w:highlight w:val="none"/>
        </w:rPr>
        <w:t>约定执行。</w:t>
      </w:r>
    </w:p>
    <w:p w14:paraId="1D5470C1">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4.4 </w:t>
      </w:r>
      <w:r>
        <w:rPr>
          <w:rFonts w:hint="eastAsia" w:ascii="宋体" w:hAnsi="宋体" w:cs="宋体"/>
          <w:color w:val="auto"/>
          <w:kern w:val="0"/>
          <w:szCs w:val="21"/>
          <w:highlight w:val="none"/>
        </w:rPr>
        <w:t>承包人人员</w:t>
      </w:r>
    </w:p>
    <w:p w14:paraId="003DD711">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4.4.1 </w:t>
      </w:r>
      <w:r>
        <w:rPr>
          <w:rFonts w:hint="eastAsia" w:ascii="宋体" w:hAnsi="宋体" w:cs="宋体"/>
          <w:color w:val="auto"/>
          <w:kern w:val="0"/>
          <w:szCs w:val="21"/>
          <w:highlight w:val="none"/>
        </w:rPr>
        <w:t>人员安排</w:t>
      </w:r>
    </w:p>
    <w:p w14:paraId="68C3B60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增加</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14:paraId="58ADCBAC">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（1）施工技术负责人</w:t>
      </w:r>
    </w:p>
    <w:p w14:paraId="07B1F058">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施工技术负责人姓名：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3DEBB5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身份证号：</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0F8A4978">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证书名称及号码：</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4BD83F4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52266DA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施工技术负责人每月在现场的时间要求：</w:t>
      </w:r>
      <w:r>
        <w:rPr>
          <w:rFonts w:hint="eastAsia" w:ascii="宋体" w:hAnsi="宋体" w:cs="宋体"/>
          <w:color w:val="auto"/>
          <w:kern w:val="0"/>
          <w:szCs w:val="21"/>
          <w:highlight w:val="none"/>
          <w:u w:val="single"/>
        </w:rPr>
        <w:t xml:space="preserve">不少于22天，由监理人负责施工技术负责人的考勤 </w:t>
      </w:r>
      <w:r>
        <w:rPr>
          <w:rFonts w:hint="eastAsia" w:ascii="宋体" w:hAnsi="宋体" w:cs="宋体"/>
          <w:color w:val="auto"/>
          <w:kern w:val="0"/>
          <w:szCs w:val="21"/>
          <w:highlight w:val="none"/>
        </w:rPr>
        <w:t>。</w:t>
      </w:r>
    </w:p>
    <w:p w14:paraId="5A5CCCE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承包人应在本合同订立前提交与施工技术负责人签订的劳动合同及为施工技术负责人缴纳社会保险的证明，承包人未在限期内提交的，施工技术负责人无权履行职责，发包人有权要求更换施工技术负责人。</w:t>
      </w:r>
    </w:p>
    <w:p w14:paraId="0418A1F9">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）其他要求</w:t>
      </w:r>
    </w:p>
    <w:p w14:paraId="5316B9D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承包人提交项目管理机构及施工现场人员安排的报告的期限：合同订立后</w:t>
      </w:r>
      <w:r>
        <w:rPr>
          <w:rFonts w:ascii="宋体" w:hAnsi="宋体" w:cs="宋体"/>
          <w:color w:val="auto"/>
          <w:kern w:val="0"/>
          <w:szCs w:val="21"/>
          <w:highlight w:val="none"/>
        </w:rPr>
        <w:t>7</w:t>
      </w:r>
      <w:r>
        <w:rPr>
          <w:rFonts w:hint="eastAsia" w:ascii="宋体" w:hAnsi="宋体" w:cs="宋体"/>
          <w:color w:val="auto"/>
          <w:kern w:val="0"/>
          <w:szCs w:val="21"/>
          <w:highlight w:val="none"/>
        </w:rPr>
        <w:t>天内。</w:t>
      </w:r>
    </w:p>
    <w:p w14:paraId="13AE7A9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承包人提交关键人员信息及注册执业资格等证明其具备担任关键人员能力的相关文件的期限：合同订立后</w:t>
      </w:r>
      <w:r>
        <w:rPr>
          <w:rFonts w:ascii="宋体" w:hAnsi="宋体" w:cs="宋体"/>
          <w:color w:val="auto"/>
          <w:kern w:val="0"/>
          <w:szCs w:val="21"/>
          <w:highlight w:val="none"/>
        </w:rPr>
        <w:t>7</w:t>
      </w:r>
      <w:r>
        <w:rPr>
          <w:rFonts w:hint="eastAsia" w:ascii="宋体" w:hAnsi="宋体" w:cs="宋体"/>
          <w:color w:val="auto"/>
          <w:kern w:val="0"/>
          <w:szCs w:val="21"/>
          <w:highlight w:val="none"/>
        </w:rPr>
        <w:t>天内。</w:t>
      </w:r>
    </w:p>
    <w:p w14:paraId="6E09978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4.4.2 </w:t>
      </w:r>
      <w:r>
        <w:rPr>
          <w:rFonts w:hint="eastAsia" w:ascii="宋体" w:hAnsi="宋体" w:cs="宋体"/>
          <w:color w:val="auto"/>
          <w:kern w:val="0"/>
          <w:szCs w:val="21"/>
          <w:highlight w:val="none"/>
        </w:rPr>
        <w:t>关键人员更换</w:t>
      </w:r>
    </w:p>
    <w:p w14:paraId="2FEA20E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承包人擅自更换关键人员的违约责任：</w:t>
      </w:r>
      <w:r>
        <w:rPr>
          <w:rFonts w:hint="eastAsia" w:ascii="宋体" w:hAnsi="宋体" w:cs="宋体"/>
          <w:color w:val="auto"/>
          <w:kern w:val="0"/>
          <w:szCs w:val="21"/>
          <w:highlight w:val="none"/>
          <w:u w:val="single"/>
        </w:rPr>
        <w:t>按照第</w:t>
      </w:r>
      <w:r>
        <w:rPr>
          <w:rFonts w:ascii="宋体" w:hAnsi="宋体" w:cs="宋体"/>
          <w:color w:val="auto"/>
          <w:kern w:val="0"/>
          <w:szCs w:val="21"/>
          <w:highlight w:val="none"/>
          <w:u w:val="single"/>
        </w:rPr>
        <w:t>15.2</w:t>
      </w:r>
      <w:r>
        <w:rPr>
          <w:rFonts w:hint="eastAsia" w:ascii="宋体" w:hAnsi="宋体" w:cs="宋体"/>
          <w:color w:val="auto"/>
          <w:kern w:val="0"/>
          <w:szCs w:val="21"/>
          <w:highlight w:val="none"/>
          <w:u w:val="single"/>
        </w:rPr>
        <w:t>款</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承包人违约</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约定执行。</w:t>
      </w:r>
    </w:p>
    <w:p w14:paraId="36649865">
      <w:pPr>
        <w:widowControl/>
        <w:adjustRightInd w:val="0"/>
        <w:snapToGrid w:val="0"/>
        <w:spacing w:after="163" w:afterLines="50" w:line="360" w:lineRule="auto"/>
        <w:ind w:left="420" w:leftChars="200"/>
        <w:rPr>
          <w:rFonts w:ascii="宋体" w:hAnsi="宋体" w:cs="宋体"/>
          <w:color w:val="auto"/>
          <w:kern w:val="0"/>
          <w:highlight w:val="none"/>
        </w:rPr>
      </w:pPr>
      <w:r>
        <w:rPr>
          <w:rFonts w:hint="eastAsia" w:ascii="宋体" w:hAnsi="宋体" w:cs="宋体"/>
          <w:color w:val="auto"/>
          <w:kern w:val="0"/>
          <w:szCs w:val="21"/>
          <w:highlight w:val="none"/>
        </w:rPr>
        <w:t>承包人无正当理由拒绝撤换关键人员的违约责任：</w:t>
      </w:r>
      <w:bookmarkStart w:id="2638" w:name="_Hlk58838700"/>
      <w:r>
        <w:rPr>
          <w:rFonts w:hint="eastAsia" w:ascii="宋体" w:hAnsi="宋体" w:cs="宋体"/>
          <w:color w:val="auto"/>
          <w:kern w:val="0"/>
          <w:szCs w:val="21"/>
          <w:highlight w:val="none"/>
        </w:rPr>
        <w:t>按照第</w:t>
      </w:r>
      <w:r>
        <w:rPr>
          <w:rFonts w:ascii="宋体" w:hAnsi="宋体" w:cs="宋体"/>
          <w:color w:val="auto"/>
          <w:kern w:val="0"/>
          <w:szCs w:val="21"/>
          <w:highlight w:val="none"/>
        </w:rPr>
        <w:t>15.2</w:t>
      </w:r>
      <w:r>
        <w:rPr>
          <w:rFonts w:hint="eastAsia" w:ascii="宋体" w:hAnsi="宋体" w:cs="宋体"/>
          <w:color w:val="auto"/>
          <w:kern w:val="0"/>
          <w:szCs w:val="21"/>
          <w:highlight w:val="none"/>
        </w:rPr>
        <w:t>款</w:t>
      </w:r>
      <w:r>
        <w:rPr>
          <w:rFonts w:ascii="宋体" w:hAnsi="宋体" w:cs="宋体"/>
          <w:color w:val="auto"/>
          <w:kern w:val="0"/>
          <w:szCs w:val="21"/>
          <w:highlight w:val="none"/>
        </w:rPr>
        <w:t>[</w:t>
      </w:r>
      <w:r>
        <w:rPr>
          <w:rFonts w:hint="eastAsia" w:ascii="宋体" w:hAnsi="宋体" w:cs="宋体"/>
          <w:color w:val="auto"/>
          <w:kern w:val="0"/>
          <w:szCs w:val="21"/>
          <w:highlight w:val="none"/>
        </w:rPr>
        <w:t>承包人违约</w:t>
      </w:r>
      <w:r>
        <w:rPr>
          <w:rFonts w:ascii="宋体" w:hAnsi="宋体" w:cs="宋体"/>
          <w:color w:val="auto"/>
          <w:kern w:val="0"/>
          <w:szCs w:val="21"/>
          <w:highlight w:val="none"/>
        </w:rPr>
        <w:t>]</w:t>
      </w:r>
      <w:r>
        <w:rPr>
          <w:rFonts w:hint="eastAsia" w:ascii="宋体" w:hAnsi="宋体" w:cs="宋体"/>
          <w:color w:val="auto"/>
          <w:kern w:val="0"/>
          <w:szCs w:val="21"/>
          <w:highlight w:val="none"/>
        </w:rPr>
        <w:t>约定执行。</w:t>
      </w:r>
      <w:bookmarkEnd w:id="2638"/>
    </w:p>
    <w:p w14:paraId="4CF9554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4.4.3 </w:t>
      </w:r>
      <w:r>
        <w:rPr>
          <w:rFonts w:hint="eastAsia" w:ascii="宋体" w:hAnsi="宋体" w:cs="宋体"/>
          <w:color w:val="auto"/>
          <w:kern w:val="0"/>
          <w:szCs w:val="21"/>
          <w:highlight w:val="none"/>
        </w:rPr>
        <w:t>现场管理关键人员在岗要求</w:t>
      </w:r>
    </w:p>
    <w:p w14:paraId="678EA914">
      <w:pPr>
        <w:widowControl/>
        <w:adjustRightInd w:val="0"/>
        <w:snapToGrid w:val="0"/>
        <w:spacing w:after="163" w:after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承包人现场管理关键人员离开施工现场的批准要求</w:t>
      </w:r>
      <w:r>
        <w:rPr>
          <w:rFonts w:hint="eastAsia" w:ascii="宋体" w:hAnsi="宋体" w:cs="宋体"/>
          <w:color w:val="auto"/>
          <w:kern w:val="0"/>
          <w:szCs w:val="21"/>
          <w:highlight w:val="none"/>
          <w:u w:val="single"/>
        </w:rPr>
        <w:t>：承包人书面申请，监理人书面批准 。</w:t>
      </w:r>
      <w:r>
        <w:rPr>
          <w:rFonts w:hint="eastAsia" w:ascii="宋体" w:hAnsi="宋体" w:cs="宋体"/>
          <w:color w:val="auto"/>
          <w:kern w:val="0"/>
          <w:szCs w:val="21"/>
          <w:highlight w:val="none"/>
        </w:rPr>
        <w:t xml:space="preserve"> </w:t>
      </w:r>
    </w:p>
    <w:p w14:paraId="4A9C5E03">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承包人现场管理关键人员擅自离开施工现场的违约责任：按照第15.2款[承包人违约]约定执行。</w:t>
      </w:r>
    </w:p>
    <w:p w14:paraId="3099B1C0">
      <w:pPr>
        <w:widowControl/>
        <w:adjustRightInd w:val="0"/>
        <w:snapToGrid w:val="0"/>
        <w:spacing w:after="163" w:afterLines="50" w:line="360" w:lineRule="auto"/>
        <w:ind w:firstLine="420" w:firstLineChars="200"/>
        <w:jc w:val="left"/>
        <w:rPr>
          <w:rFonts w:ascii="宋体" w:hAnsi="宋体" w:cs="宋体"/>
          <w:color w:val="auto"/>
          <w:kern w:val="0"/>
          <w:highlight w:val="none"/>
        </w:rPr>
      </w:pPr>
      <w:bookmarkStart w:id="2639" w:name="_Hlk528927718"/>
      <w:bookmarkEnd w:id="2639"/>
      <w:r>
        <w:rPr>
          <w:rFonts w:hint="eastAsia" w:ascii="宋体" w:hAnsi="宋体" w:cs="宋体"/>
          <w:color w:val="auto"/>
          <w:kern w:val="0"/>
          <w:szCs w:val="21"/>
          <w:highlight w:val="none"/>
        </w:rPr>
        <w:t>本款补充</w:t>
      </w:r>
      <w:r>
        <w:rPr>
          <w:rFonts w:ascii="宋体" w:hAnsi="宋体" w:cs="宋体"/>
          <w:color w:val="auto"/>
          <w:kern w:val="0"/>
          <w:szCs w:val="21"/>
          <w:highlight w:val="none"/>
        </w:rPr>
        <w:t>4.4.4</w:t>
      </w:r>
      <w:r>
        <w:rPr>
          <w:rFonts w:hint="eastAsia" w:ascii="宋体" w:hAnsi="宋体" w:cs="宋体"/>
          <w:color w:val="auto"/>
          <w:kern w:val="0"/>
          <w:szCs w:val="21"/>
          <w:highlight w:val="none"/>
        </w:rPr>
        <w:t>、</w:t>
      </w:r>
      <w:r>
        <w:rPr>
          <w:rFonts w:ascii="宋体" w:hAnsi="宋体" w:cs="宋体"/>
          <w:color w:val="auto"/>
          <w:kern w:val="0"/>
          <w:szCs w:val="21"/>
          <w:highlight w:val="none"/>
        </w:rPr>
        <w:t>4.4.5</w:t>
      </w:r>
      <w:r>
        <w:rPr>
          <w:rFonts w:hint="eastAsia" w:ascii="宋体" w:hAnsi="宋体" w:cs="宋体"/>
          <w:color w:val="auto"/>
          <w:kern w:val="0"/>
          <w:szCs w:val="21"/>
          <w:highlight w:val="none"/>
        </w:rPr>
        <w:t>项：</w:t>
      </w:r>
    </w:p>
    <w:p w14:paraId="54AD580D">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ascii="宋体" w:hAnsi="宋体" w:cs="宋体"/>
          <w:color w:val="auto"/>
          <w:kern w:val="0"/>
          <w:szCs w:val="21"/>
          <w:highlight w:val="none"/>
        </w:rPr>
        <w:t xml:space="preserve">4.4.4 </w:t>
      </w:r>
      <w:r>
        <w:rPr>
          <w:rFonts w:hint="eastAsia" w:ascii="宋体" w:hAnsi="宋体" w:cs="宋体"/>
          <w:color w:val="auto"/>
          <w:kern w:val="0"/>
          <w:szCs w:val="21"/>
          <w:highlight w:val="none"/>
        </w:rPr>
        <w:t>发包人有权书面通知承包人更换其认为不称职</w:t>
      </w:r>
      <w:r>
        <w:rPr>
          <w:rFonts w:ascii="宋体" w:hAnsi="宋体" w:cs="宋体"/>
          <w:color w:val="auto"/>
          <w:kern w:val="0"/>
          <w:szCs w:val="21"/>
          <w:highlight w:val="none"/>
        </w:rPr>
        <w:t>/</w:t>
      </w:r>
      <w:r>
        <w:rPr>
          <w:rFonts w:hint="eastAsia" w:ascii="宋体" w:hAnsi="宋体" w:cs="宋体"/>
          <w:color w:val="auto"/>
          <w:kern w:val="0"/>
          <w:szCs w:val="21"/>
          <w:highlight w:val="none"/>
        </w:rPr>
        <w:t>不履职的工程项目经理、施工负责人或施工技术负责人，通知中应当载明要求更换的理由。承包人应在接到更换通知后</w:t>
      </w:r>
      <w:r>
        <w:rPr>
          <w:rFonts w:ascii="宋体" w:hAnsi="宋体" w:cs="宋体"/>
          <w:color w:val="auto"/>
          <w:kern w:val="0"/>
          <w:szCs w:val="21"/>
          <w:highlight w:val="none"/>
        </w:rPr>
        <w:t>7</w:t>
      </w:r>
      <w:r>
        <w:rPr>
          <w:rFonts w:hint="eastAsia" w:ascii="宋体" w:hAnsi="宋体" w:cs="宋体"/>
          <w:color w:val="auto"/>
          <w:kern w:val="0"/>
          <w:szCs w:val="21"/>
          <w:highlight w:val="none"/>
        </w:rPr>
        <w:t>天内向发包人提出书面的整改报告。发包人收到整改报告后仍要求更换的，承包人应在接到第二次更换通知的</w:t>
      </w:r>
      <w:r>
        <w:rPr>
          <w:rFonts w:ascii="宋体" w:hAnsi="宋体" w:cs="宋体"/>
          <w:color w:val="auto"/>
          <w:kern w:val="0"/>
          <w:szCs w:val="21"/>
          <w:highlight w:val="none"/>
        </w:rPr>
        <w:t>14</w:t>
      </w:r>
      <w:r>
        <w:rPr>
          <w:rFonts w:hint="eastAsia" w:ascii="宋体" w:hAnsi="宋体" w:cs="宋体"/>
          <w:color w:val="auto"/>
          <w:kern w:val="0"/>
          <w:szCs w:val="21"/>
          <w:highlight w:val="none"/>
        </w:rPr>
        <w:t>天内进行更换，并将新任命人员的注册执业资格、职称证书、管理经验等资料书面报送发包人审核批准。继任人员继续履行合同约定的职责。</w:t>
      </w:r>
    </w:p>
    <w:p w14:paraId="1290A779">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若项目经理、施工负责人或施工技术负责人出现下列情形需更换的，承包人应向发包人发出通知，</w:t>
      </w:r>
      <w:r>
        <w:rPr>
          <w:rFonts w:hint="eastAsia" w:ascii="宋体" w:hAnsi="宋体" w:cs="宋体"/>
          <w:color w:val="auto"/>
          <w:kern w:val="0"/>
          <w:szCs w:val="21"/>
          <w:highlight w:val="none"/>
          <w:lang w:bidi="ar"/>
        </w:rPr>
        <w:t>经发包人领导班子集体决策同意后予以批准</w:t>
      </w:r>
      <w:r>
        <w:rPr>
          <w:rFonts w:hint="eastAsia" w:ascii="宋体" w:hAnsi="宋体" w:cs="宋体"/>
          <w:color w:val="auto"/>
          <w:kern w:val="0"/>
          <w:szCs w:val="21"/>
          <w:highlight w:val="none"/>
        </w:rPr>
        <w:t>，并将变更信息推送给行业主管部门：</w:t>
      </w:r>
    </w:p>
    <w:p w14:paraId="64BA43CC">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）死亡；</w:t>
      </w:r>
    </w:p>
    <w:p w14:paraId="53426E38">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）非承包人原因导致工期延长，而致使项目经理和技术负责人达到法定退休年龄且确需退休；</w:t>
      </w:r>
    </w:p>
    <w:p w14:paraId="747B9061">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）按《职工非因工伤残或因病丧失劳动能力程度鉴定标准（试行）》规定鉴定为完全丧失劳动能力和大部分丧失劳动能力；</w:t>
      </w:r>
    </w:p>
    <w:p w14:paraId="14DCF240">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）非承包人原因导致中标</w:t>
      </w:r>
      <w:r>
        <w:rPr>
          <w:rFonts w:ascii="宋体" w:hAnsi="宋体" w:cs="宋体"/>
          <w:color w:val="auto"/>
          <w:kern w:val="0"/>
          <w:szCs w:val="21"/>
          <w:highlight w:val="none"/>
        </w:rPr>
        <w:t>3</w:t>
      </w:r>
      <w:r>
        <w:rPr>
          <w:rFonts w:hint="eastAsia" w:ascii="宋体" w:hAnsi="宋体" w:cs="宋体"/>
          <w:color w:val="auto"/>
          <w:kern w:val="0"/>
          <w:szCs w:val="21"/>
          <w:highlight w:val="none"/>
        </w:rPr>
        <w:t>个月不能开工；</w:t>
      </w:r>
    </w:p>
    <w:p w14:paraId="593EE13C">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）被公安或者司法机关限制人身自由；</w:t>
      </w:r>
    </w:p>
    <w:p w14:paraId="068F123B">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）被取消职称或者执业资格，不满足项目管理要求；</w:t>
      </w:r>
    </w:p>
    <w:p w14:paraId="192477D3">
      <w:pPr>
        <w:widowControl/>
        <w:adjustRightInd w:val="0"/>
        <w:snapToGrid w:val="0"/>
        <w:spacing w:after="163" w:after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）非承包人原因导致确需变更的其它情形。</w:t>
      </w:r>
    </w:p>
    <w:p w14:paraId="73ABFD47">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4.4.5 </w:t>
      </w:r>
      <w:r>
        <w:rPr>
          <w:rFonts w:hint="eastAsia" w:ascii="宋体" w:hAnsi="宋体" w:cs="宋体"/>
          <w:color w:val="auto"/>
          <w:kern w:val="0"/>
          <w:szCs w:val="21"/>
          <w:highlight w:val="none"/>
        </w:rPr>
        <w:t>国有资金投资项目其他主要人员变更参照《重庆市政府投资项目合同变更管理暂行办法》的规定。</w:t>
      </w:r>
    </w:p>
    <w:p w14:paraId="21CD536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4.5 </w:t>
      </w:r>
      <w:r>
        <w:rPr>
          <w:rFonts w:hint="eastAsia" w:ascii="宋体" w:hAnsi="宋体" w:cs="宋体"/>
          <w:color w:val="auto"/>
          <w:kern w:val="0"/>
          <w:szCs w:val="21"/>
          <w:highlight w:val="none"/>
        </w:rPr>
        <w:t>分包</w:t>
      </w:r>
    </w:p>
    <w:p w14:paraId="5C0C852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4.5.1 </w:t>
      </w:r>
      <w:r>
        <w:rPr>
          <w:rFonts w:hint="eastAsia" w:ascii="宋体" w:hAnsi="宋体" w:cs="宋体"/>
          <w:color w:val="auto"/>
          <w:kern w:val="0"/>
          <w:szCs w:val="21"/>
          <w:highlight w:val="none"/>
        </w:rPr>
        <w:t>一般约定</w:t>
      </w:r>
    </w:p>
    <w:p w14:paraId="6A12F0F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禁止分包的工程包括：</w:t>
      </w:r>
      <w:r>
        <w:rPr>
          <w:rFonts w:hint="eastAsia" w:ascii="宋体" w:hAnsi="宋体" w:cs="宋体"/>
          <w:color w:val="auto"/>
          <w:kern w:val="0"/>
          <w:szCs w:val="21"/>
          <w:highlight w:val="none"/>
          <w:u w:val="single"/>
        </w:rPr>
        <w:t>主体结构、关键性工作等国家法律、法规禁止分包的工程的施工</w:t>
      </w:r>
      <w:r>
        <w:rPr>
          <w:rFonts w:hint="eastAsia" w:ascii="宋体" w:hAnsi="宋体" w:cs="宋体"/>
          <w:color w:val="auto"/>
          <w:kern w:val="0"/>
          <w:szCs w:val="21"/>
          <w:highlight w:val="none"/>
        </w:rPr>
        <w:t>。</w:t>
      </w:r>
    </w:p>
    <w:p w14:paraId="629913B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主体结构、关键性工作的范围：国家法律、法规、规范、标准等所约束的范围。如房建工程主体结构指混凝土工程、砌体工程；关键性工作指梁、板、柱等部位。</w:t>
      </w:r>
    </w:p>
    <w:p w14:paraId="70D400B1">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4.5.2 </w:t>
      </w:r>
      <w:r>
        <w:rPr>
          <w:rFonts w:hint="eastAsia" w:ascii="宋体" w:hAnsi="宋体" w:cs="宋体"/>
          <w:color w:val="auto"/>
          <w:kern w:val="0"/>
          <w:szCs w:val="21"/>
          <w:highlight w:val="none"/>
        </w:rPr>
        <w:t>分包的确定</w:t>
      </w:r>
    </w:p>
    <w:p w14:paraId="066A48A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允许分包的工程包括：</w:t>
      </w:r>
      <w:r>
        <w:rPr>
          <w:rFonts w:hint="eastAsia" w:ascii="宋体" w:hAnsi="宋体" w:cs="宋体"/>
          <w:color w:val="auto"/>
          <w:kern w:val="0"/>
          <w:szCs w:val="21"/>
          <w:highlight w:val="none"/>
          <w:u w:val="single"/>
        </w:rPr>
        <w:t>符合《中华人民共和国建筑法》和《中华人民共和国招标投标法》的相关规定</w:t>
      </w:r>
      <w:r>
        <w:rPr>
          <w:rFonts w:hint="eastAsia" w:ascii="宋体" w:hAnsi="宋体" w:cs="宋体"/>
          <w:color w:val="auto"/>
          <w:kern w:val="0"/>
          <w:szCs w:val="21"/>
          <w:highlight w:val="none"/>
        </w:rPr>
        <w:t>。</w:t>
      </w:r>
    </w:p>
    <w:p w14:paraId="02EF39E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其他关于分包的约定：</w:t>
      </w:r>
    </w:p>
    <w:p w14:paraId="1D01A8B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严禁违法分包。违法分包一经查实，承包人的履约担保不予退还，终止合同；同时发包人有权向相关行政监管部门举报，根据《住房和城乡建设部关于印发建筑工程施工发包与承包违法行为认定查处管理办法的通知》（建市规〔</w:t>
      </w:r>
      <w:r>
        <w:rPr>
          <w:rFonts w:ascii="宋体" w:hAnsi="宋体" w:cs="宋体"/>
          <w:color w:val="auto"/>
          <w:kern w:val="0"/>
          <w:szCs w:val="21"/>
          <w:highlight w:val="none"/>
        </w:rPr>
        <w:t>2019</w:t>
      </w: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号）相关规定条执行。</w:t>
      </w:r>
    </w:p>
    <w:p w14:paraId="53D102E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在合同履行过程中实行设计、施工人员实名制管理，发包人有权核查承包人管理人员的资格证件、工程价款往来银行账户、施工单位的材料构配件、设备的发票等资料，配合相关行政主管部门加大对转包、违法分包行为的查处，承包人应在收到发包人核查通知后5个工作日内提供相应材料配合发包人的核查工作，否则视为重大违约，发包人有权扣除履约保证金，不予退还。</w:t>
      </w:r>
    </w:p>
    <w:p w14:paraId="7BFD9EA7">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4.5.5 </w:t>
      </w:r>
      <w:r>
        <w:rPr>
          <w:rFonts w:hint="eastAsia" w:ascii="宋体" w:hAnsi="宋体" w:cs="宋体"/>
          <w:color w:val="auto"/>
          <w:kern w:val="0"/>
          <w:szCs w:val="21"/>
          <w:highlight w:val="none"/>
        </w:rPr>
        <w:t>分包合同价款支付</w:t>
      </w:r>
    </w:p>
    <w:p w14:paraId="43B305A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关于分包合同价款支付的约定：</w:t>
      </w:r>
      <w:r>
        <w:rPr>
          <w:rFonts w:hint="eastAsia" w:ascii="宋体" w:hAnsi="宋体" w:cs="宋体"/>
          <w:color w:val="auto"/>
          <w:kern w:val="0"/>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s="宋体"/>
          <w:color w:val="auto"/>
          <w:kern w:val="0"/>
          <w:szCs w:val="21"/>
          <w:highlight w:val="none"/>
        </w:rPr>
        <w:t>。若分包人以信访、投诉、聚集等各类方式直接向发包人主张工程款的，承包人应在收到发包人书面通知后3个工作日出面解决争议并配合发包人核实分包人所主张工程款的真实性，否则视为重大违约，发包人有权扣除履约保证金，不予退还。</w:t>
      </w:r>
    </w:p>
    <w:p w14:paraId="4018E72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4.7 </w:t>
      </w:r>
      <w:r>
        <w:rPr>
          <w:rFonts w:hint="eastAsia" w:ascii="宋体" w:hAnsi="宋体" w:cs="宋体"/>
          <w:color w:val="auto"/>
          <w:kern w:val="0"/>
          <w:szCs w:val="21"/>
          <w:highlight w:val="none"/>
        </w:rPr>
        <w:t>承包人现场查勘</w:t>
      </w:r>
    </w:p>
    <w:p w14:paraId="19D787A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4.7.1 </w:t>
      </w:r>
      <w:r>
        <w:rPr>
          <w:rFonts w:hint="eastAsia" w:ascii="宋体" w:hAnsi="宋体" w:cs="宋体"/>
          <w:color w:val="auto"/>
          <w:kern w:val="0"/>
          <w:szCs w:val="21"/>
          <w:highlight w:val="none"/>
        </w:rPr>
        <w:t>双方当事人对现场查勘的责任承担的约定：。</w:t>
      </w:r>
    </w:p>
    <w:p w14:paraId="3D4EEA34">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4.8 </w:t>
      </w:r>
      <w:r>
        <w:rPr>
          <w:rFonts w:hint="eastAsia" w:ascii="宋体" w:hAnsi="宋体" w:cs="宋体"/>
          <w:color w:val="auto"/>
          <w:kern w:val="0"/>
          <w:szCs w:val="21"/>
          <w:highlight w:val="none"/>
        </w:rPr>
        <w:t>不可预见的困难</w:t>
      </w:r>
    </w:p>
    <w:p w14:paraId="233C62E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不可预见的困难包括：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DB9778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4.9 </w:t>
      </w:r>
      <w:r>
        <w:rPr>
          <w:rFonts w:hint="eastAsia" w:ascii="宋体" w:hAnsi="宋体" w:cs="宋体"/>
          <w:color w:val="auto"/>
          <w:kern w:val="0"/>
          <w:szCs w:val="21"/>
          <w:highlight w:val="none"/>
        </w:rPr>
        <w:t>工程质量管理</w:t>
      </w:r>
    </w:p>
    <w:p w14:paraId="14835491">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rPr>
        <w:t>工程质量的特殊标准或要求：</w:t>
      </w:r>
      <w:r>
        <w:rPr>
          <w:rFonts w:hint="eastAsia" w:ascii="宋体" w:hAnsi="宋体" w:cs="宋体"/>
          <w:color w:val="auto"/>
          <w:kern w:val="0"/>
          <w:szCs w:val="21"/>
          <w:highlight w:val="none"/>
          <w:u w:val="single"/>
        </w:rPr>
        <w:t>在工程建设中，参建各方应严格执行以下规定（包括但不限于）：</w:t>
      </w:r>
    </w:p>
    <w:p w14:paraId="31176DE0">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w:t>
      </w:r>
      <w:r>
        <w:rPr>
          <w:rFonts w:hint="eastAsia" w:ascii="宋体" w:hAnsi="宋体" w:cs="宋体"/>
          <w:color w:val="auto"/>
          <w:kern w:val="0"/>
          <w:szCs w:val="21"/>
          <w:highlight w:val="none"/>
          <w:u w:val="single"/>
        </w:rPr>
        <w:t>）《建筑工程施工质量验收统一标准》（</w:t>
      </w:r>
      <w:r>
        <w:rPr>
          <w:rFonts w:ascii="宋体" w:hAnsi="宋体" w:cs="宋体"/>
          <w:color w:val="auto"/>
          <w:kern w:val="0"/>
          <w:szCs w:val="21"/>
          <w:highlight w:val="none"/>
          <w:u w:val="single"/>
        </w:rPr>
        <w:t>GB50300-2013</w:t>
      </w:r>
      <w:r>
        <w:rPr>
          <w:rFonts w:hint="eastAsia" w:ascii="宋体" w:hAnsi="宋体" w:cs="宋体"/>
          <w:color w:val="auto"/>
          <w:kern w:val="0"/>
          <w:szCs w:val="21"/>
          <w:highlight w:val="none"/>
          <w:u w:val="single"/>
        </w:rPr>
        <w:t>）；</w:t>
      </w:r>
    </w:p>
    <w:p w14:paraId="467E2DE8">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2</w:t>
      </w:r>
      <w:r>
        <w:rPr>
          <w:rFonts w:hint="eastAsia" w:ascii="宋体" w:hAnsi="宋体" w:cs="宋体"/>
          <w:color w:val="auto"/>
          <w:kern w:val="0"/>
          <w:szCs w:val="21"/>
          <w:highlight w:val="none"/>
          <w:u w:val="single"/>
        </w:rPr>
        <w:t>）《住房城乡建设部关于印发工程质量安全提升行动方案的通知》（建质〔</w:t>
      </w:r>
      <w:r>
        <w:rPr>
          <w:rFonts w:ascii="宋体" w:hAnsi="宋体" w:cs="宋体"/>
          <w:color w:val="auto"/>
          <w:kern w:val="0"/>
          <w:szCs w:val="21"/>
          <w:highlight w:val="none"/>
          <w:u w:val="single"/>
        </w:rPr>
        <w:t>2017</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57</w:t>
      </w:r>
      <w:r>
        <w:rPr>
          <w:rFonts w:hint="eastAsia" w:ascii="宋体" w:hAnsi="宋体" w:cs="宋体"/>
          <w:color w:val="auto"/>
          <w:kern w:val="0"/>
          <w:szCs w:val="21"/>
          <w:highlight w:val="none"/>
          <w:u w:val="single"/>
        </w:rPr>
        <w:t>）；</w:t>
      </w:r>
    </w:p>
    <w:p w14:paraId="406F7B1E">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）《房屋建筑和市政基础设施工程竣工验收规定》（建质〔</w:t>
      </w:r>
      <w:r>
        <w:rPr>
          <w:rFonts w:ascii="宋体" w:hAnsi="宋体" w:cs="宋体"/>
          <w:color w:val="auto"/>
          <w:kern w:val="0"/>
          <w:szCs w:val="21"/>
          <w:highlight w:val="none"/>
          <w:u w:val="single"/>
        </w:rPr>
        <w:t>2013</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171</w:t>
      </w:r>
      <w:r>
        <w:rPr>
          <w:rFonts w:hint="eastAsia" w:ascii="宋体" w:hAnsi="宋体" w:cs="宋体"/>
          <w:color w:val="auto"/>
          <w:kern w:val="0"/>
          <w:szCs w:val="21"/>
          <w:highlight w:val="none"/>
          <w:u w:val="single"/>
        </w:rPr>
        <w:t>）；</w:t>
      </w:r>
    </w:p>
    <w:p w14:paraId="3AA65BE3">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4</w:t>
      </w:r>
      <w:r>
        <w:rPr>
          <w:rFonts w:hint="eastAsia" w:ascii="宋体" w:hAnsi="宋体" w:cs="宋体"/>
          <w:color w:val="auto"/>
          <w:kern w:val="0"/>
          <w:szCs w:val="21"/>
          <w:highlight w:val="none"/>
          <w:u w:val="single"/>
        </w:rPr>
        <w:t>）《建设部关于贯彻执行建筑工程勘察设计及施工质量验收规范若干问题的通知》（建标〔</w:t>
      </w:r>
      <w:r>
        <w:rPr>
          <w:rFonts w:ascii="宋体" w:hAnsi="宋体" w:cs="宋体"/>
          <w:color w:val="auto"/>
          <w:kern w:val="0"/>
          <w:szCs w:val="21"/>
          <w:highlight w:val="none"/>
          <w:u w:val="single"/>
        </w:rPr>
        <w:t>2002</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212</w:t>
      </w:r>
      <w:r>
        <w:rPr>
          <w:rFonts w:hint="eastAsia" w:ascii="宋体" w:hAnsi="宋体" w:cs="宋体"/>
          <w:color w:val="auto"/>
          <w:kern w:val="0"/>
          <w:szCs w:val="21"/>
          <w:highlight w:val="none"/>
          <w:u w:val="single"/>
        </w:rPr>
        <w:t>号）；</w:t>
      </w:r>
    </w:p>
    <w:p w14:paraId="2C1808FB">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5</w:t>
      </w:r>
      <w:r>
        <w:rPr>
          <w:rFonts w:hint="eastAsia" w:ascii="宋体" w:hAnsi="宋体" w:cs="宋体"/>
          <w:color w:val="auto"/>
          <w:kern w:val="0"/>
          <w:szCs w:val="21"/>
          <w:highlight w:val="none"/>
          <w:u w:val="single"/>
        </w:rPr>
        <w:t>）《重庆市住房和城乡建设委员会关于印发</w:t>
      </w:r>
      <w:r>
        <w:rPr>
          <w:rFonts w:ascii="宋体" w:hAnsi="宋体" w:cs="宋体"/>
          <w:color w:val="auto"/>
          <w:kern w:val="0"/>
          <w:szCs w:val="21"/>
          <w:highlight w:val="none"/>
          <w:u w:val="single"/>
        </w:rPr>
        <w:t>&lt;</w:t>
      </w:r>
      <w:r>
        <w:rPr>
          <w:rFonts w:hint="eastAsia" w:ascii="宋体" w:hAnsi="宋体" w:cs="宋体"/>
          <w:color w:val="auto"/>
          <w:kern w:val="0"/>
          <w:szCs w:val="21"/>
          <w:highlight w:val="none"/>
          <w:u w:val="single"/>
        </w:rPr>
        <w:t>重庆市房屋建筑和市政基础设施工程质量常见问题防治要点（</w:t>
      </w:r>
      <w:r>
        <w:rPr>
          <w:rFonts w:ascii="宋体" w:hAnsi="宋体" w:cs="宋体"/>
          <w:color w:val="auto"/>
          <w:kern w:val="0"/>
          <w:szCs w:val="21"/>
          <w:highlight w:val="none"/>
          <w:u w:val="single"/>
        </w:rPr>
        <w:t>2019</w:t>
      </w:r>
      <w:r>
        <w:rPr>
          <w:rFonts w:hint="eastAsia" w:ascii="宋体" w:hAnsi="宋体" w:cs="宋体"/>
          <w:color w:val="auto"/>
          <w:kern w:val="0"/>
          <w:szCs w:val="21"/>
          <w:highlight w:val="none"/>
          <w:u w:val="single"/>
        </w:rPr>
        <w:t>年版）</w:t>
      </w:r>
      <w:r>
        <w:rPr>
          <w:rFonts w:ascii="宋体" w:hAnsi="宋体" w:cs="宋体"/>
          <w:color w:val="auto"/>
          <w:kern w:val="0"/>
          <w:szCs w:val="21"/>
          <w:highlight w:val="none"/>
          <w:u w:val="single"/>
        </w:rPr>
        <w:t>&gt;</w:t>
      </w:r>
      <w:r>
        <w:rPr>
          <w:rFonts w:hint="eastAsia" w:ascii="宋体" w:hAnsi="宋体" w:cs="宋体"/>
          <w:color w:val="auto"/>
          <w:kern w:val="0"/>
          <w:szCs w:val="21"/>
          <w:highlight w:val="none"/>
          <w:u w:val="single"/>
        </w:rPr>
        <w:t>的通知》（渝建〔</w:t>
      </w:r>
      <w:r>
        <w:rPr>
          <w:rFonts w:ascii="宋体" w:hAnsi="宋体" w:cs="宋体"/>
          <w:color w:val="auto"/>
          <w:kern w:val="0"/>
          <w:szCs w:val="21"/>
          <w:highlight w:val="none"/>
          <w:u w:val="single"/>
        </w:rPr>
        <w:t>2019</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198</w:t>
      </w:r>
      <w:r>
        <w:rPr>
          <w:rFonts w:hint="eastAsia" w:ascii="宋体" w:hAnsi="宋体" w:cs="宋体"/>
          <w:color w:val="auto"/>
          <w:kern w:val="0"/>
          <w:szCs w:val="21"/>
          <w:highlight w:val="none"/>
          <w:u w:val="single"/>
        </w:rPr>
        <w:t>号）；</w:t>
      </w:r>
    </w:p>
    <w:p w14:paraId="17CC00DC">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6</w:t>
      </w:r>
      <w:r>
        <w:rPr>
          <w:rFonts w:hint="eastAsia" w:ascii="宋体" w:hAnsi="宋体" w:cs="宋体"/>
          <w:color w:val="auto"/>
          <w:kern w:val="0"/>
          <w:szCs w:val="21"/>
          <w:highlight w:val="none"/>
          <w:u w:val="single"/>
        </w:rPr>
        <w:t>）《关于印发</w:t>
      </w:r>
      <w:r>
        <w:rPr>
          <w:rFonts w:ascii="宋体" w:hAnsi="宋体" w:cs="宋体"/>
          <w:color w:val="auto"/>
          <w:kern w:val="0"/>
          <w:szCs w:val="21"/>
          <w:highlight w:val="none"/>
          <w:u w:val="single"/>
        </w:rPr>
        <w:t>&lt;</w:t>
      </w:r>
      <w:r>
        <w:rPr>
          <w:rFonts w:hint="eastAsia" w:ascii="宋体" w:hAnsi="宋体" w:cs="宋体"/>
          <w:color w:val="auto"/>
          <w:kern w:val="0"/>
          <w:szCs w:val="21"/>
          <w:highlight w:val="none"/>
          <w:u w:val="single"/>
        </w:rPr>
        <w:t>重庆市房屋建筑和市政基础设施工程预拌商品砂浆应用推进工作方案</w:t>
      </w:r>
      <w:r>
        <w:rPr>
          <w:rFonts w:ascii="宋体" w:hAnsi="宋体" w:cs="宋体"/>
          <w:color w:val="auto"/>
          <w:kern w:val="0"/>
          <w:szCs w:val="21"/>
          <w:highlight w:val="none"/>
          <w:u w:val="single"/>
        </w:rPr>
        <w:t>&gt;</w:t>
      </w:r>
      <w:r>
        <w:rPr>
          <w:rFonts w:hint="eastAsia" w:ascii="宋体" w:hAnsi="宋体" w:cs="宋体"/>
          <w:color w:val="auto"/>
          <w:kern w:val="0"/>
          <w:szCs w:val="21"/>
          <w:highlight w:val="none"/>
          <w:u w:val="single"/>
        </w:rPr>
        <w:t>的通知》（渝建〔</w:t>
      </w:r>
      <w:r>
        <w:rPr>
          <w:rFonts w:ascii="宋体" w:hAnsi="宋体" w:cs="宋体"/>
          <w:color w:val="auto"/>
          <w:kern w:val="0"/>
          <w:szCs w:val="21"/>
          <w:highlight w:val="none"/>
          <w:u w:val="single"/>
        </w:rPr>
        <w:t>2018</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375</w:t>
      </w:r>
      <w:r>
        <w:rPr>
          <w:rFonts w:hint="eastAsia" w:ascii="宋体" w:hAnsi="宋体" w:cs="宋体"/>
          <w:color w:val="auto"/>
          <w:kern w:val="0"/>
          <w:szCs w:val="21"/>
          <w:highlight w:val="none"/>
          <w:u w:val="single"/>
        </w:rPr>
        <w:t>号）；</w:t>
      </w:r>
    </w:p>
    <w:p w14:paraId="2135001C">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）《重庆市城乡建设委员会关于印发</w:t>
      </w:r>
      <w:r>
        <w:rPr>
          <w:rFonts w:ascii="宋体" w:hAnsi="宋体" w:cs="宋体"/>
          <w:color w:val="auto"/>
          <w:kern w:val="0"/>
          <w:szCs w:val="21"/>
          <w:highlight w:val="none"/>
          <w:u w:val="single"/>
        </w:rPr>
        <w:t>2018</w:t>
      </w:r>
      <w:r>
        <w:rPr>
          <w:rFonts w:hint="eastAsia" w:ascii="宋体" w:hAnsi="宋体" w:cs="宋体"/>
          <w:color w:val="auto"/>
          <w:kern w:val="0"/>
          <w:szCs w:val="21"/>
          <w:highlight w:val="none"/>
          <w:u w:val="single"/>
        </w:rPr>
        <w:t>年房屋建筑和市政基础设施工程质量要点的通知》（渝建〔</w:t>
      </w:r>
      <w:r>
        <w:rPr>
          <w:rFonts w:ascii="宋体" w:hAnsi="宋体" w:cs="宋体"/>
          <w:color w:val="auto"/>
          <w:kern w:val="0"/>
          <w:szCs w:val="21"/>
          <w:highlight w:val="none"/>
          <w:u w:val="single"/>
        </w:rPr>
        <w:t>2018</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94</w:t>
      </w:r>
      <w:r>
        <w:rPr>
          <w:rFonts w:hint="eastAsia" w:ascii="宋体" w:hAnsi="宋体" w:cs="宋体"/>
          <w:color w:val="auto"/>
          <w:kern w:val="0"/>
          <w:szCs w:val="21"/>
          <w:highlight w:val="none"/>
          <w:u w:val="single"/>
        </w:rPr>
        <w:t>号）；</w:t>
      </w:r>
    </w:p>
    <w:p w14:paraId="4A5B6C7A">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8</w:t>
      </w:r>
      <w:r>
        <w:rPr>
          <w:rFonts w:hint="eastAsia" w:ascii="宋体" w:hAnsi="宋体" w:cs="宋体"/>
          <w:color w:val="auto"/>
          <w:kern w:val="0"/>
          <w:szCs w:val="21"/>
          <w:highlight w:val="none"/>
          <w:u w:val="single"/>
        </w:rPr>
        <w:t>）《重庆市城乡建设委员会关于进一步推广应用预拌商品砂浆的通知》（渝建〔</w:t>
      </w:r>
      <w:r>
        <w:rPr>
          <w:rFonts w:ascii="宋体" w:hAnsi="宋体" w:cs="宋体"/>
          <w:color w:val="auto"/>
          <w:kern w:val="0"/>
          <w:szCs w:val="21"/>
          <w:highlight w:val="none"/>
          <w:u w:val="single"/>
        </w:rPr>
        <w:t>2016</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318</w:t>
      </w:r>
      <w:r>
        <w:rPr>
          <w:rFonts w:hint="eastAsia" w:ascii="宋体" w:hAnsi="宋体" w:cs="宋体"/>
          <w:color w:val="auto"/>
          <w:kern w:val="0"/>
          <w:szCs w:val="21"/>
          <w:highlight w:val="none"/>
          <w:u w:val="single"/>
        </w:rPr>
        <w:t>号）；</w:t>
      </w:r>
    </w:p>
    <w:p w14:paraId="4476B25E">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9</w:t>
      </w:r>
      <w:r>
        <w:rPr>
          <w:rFonts w:hint="eastAsia" w:ascii="宋体" w:hAnsi="宋体" w:cs="宋体"/>
          <w:color w:val="auto"/>
          <w:kern w:val="0"/>
          <w:szCs w:val="21"/>
          <w:highlight w:val="none"/>
          <w:u w:val="single"/>
        </w:rPr>
        <w:t>）《重庆市建设委员会关于发布</w:t>
      </w:r>
      <w:r>
        <w:rPr>
          <w:rFonts w:ascii="宋体" w:hAnsi="宋体" w:cs="宋体"/>
          <w:color w:val="auto"/>
          <w:kern w:val="0"/>
          <w:szCs w:val="21"/>
          <w:highlight w:val="none"/>
          <w:u w:val="single"/>
        </w:rPr>
        <w:t>&lt;</w:t>
      </w:r>
      <w:r>
        <w:rPr>
          <w:rFonts w:hint="eastAsia" w:ascii="宋体" w:hAnsi="宋体" w:cs="宋体"/>
          <w:color w:val="auto"/>
          <w:kern w:val="0"/>
          <w:szCs w:val="21"/>
          <w:highlight w:val="none"/>
          <w:u w:val="single"/>
        </w:rPr>
        <w:t>建筑工程施工质量验收规范用表（建筑节能分部工程）</w:t>
      </w:r>
      <w:r>
        <w:rPr>
          <w:rFonts w:ascii="宋体" w:hAnsi="宋体" w:cs="宋体"/>
          <w:color w:val="auto"/>
          <w:kern w:val="0"/>
          <w:szCs w:val="21"/>
          <w:highlight w:val="none"/>
          <w:u w:val="single"/>
        </w:rPr>
        <w:t>&gt;</w:t>
      </w:r>
      <w:r>
        <w:rPr>
          <w:rFonts w:hint="eastAsia" w:ascii="宋体" w:hAnsi="宋体" w:cs="宋体"/>
          <w:color w:val="auto"/>
          <w:kern w:val="0"/>
          <w:szCs w:val="21"/>
          <w:highlight w:val="none"/>
          <w:u w:val="single"/>
        </w:rPr>
        <w:t>和</w:t>
      </w:r>
      <w:r>
        <w:rPr>
          <w:rFonts w:ascii="宋体" w:hAnsi="宋体" w:cs="宋体"/>
          <w:color w:val="auto"/>
          <w:kern w:val="0"/>
          <w:szCs w:val="21"/>
          <w:highlight w:val="none"/>
          <w:u w:val="single"/>
        </w:rPr>
        <w:t>&lt;</w:t>
      </w:r>
      <w:r>
        <w:rPr>
          <w:rFonts w:hint="eastAsia" w:ascii="宋体" w:hAnsi="宋体" w:cs="宋体"/>
          <w:color w:val="auto"/>
          <w:kern w:val="0"/>
          <w:szCs w:val="21"/>
          <w:highlight w:val="none"/>
          <w:u w:val="single"/>
        </w:rPr>
        <w:t>建设工程技术用表（建筑节能工程）</w:t>
      </w:r>
      <w:r>
        <w:rPr>
          <w:rFonts w:ascii="宋体" w:hAnsi="宋体" w:cs="宋体"/>
          <w:color w:val="auto"/>
          <w:kern w:val="0"/>
          <w:szCs w:val="21"/>
          <w:highlight w:val="none"/>
          <w:u w:val="single"/>
        </w:rPr>
        <w:t>&gt;</w:t>
      </w:r>
      <w:r>
        <w:rPr>
          <w:rFonts w:hint="eastAsia" w:ascii="宋体" w:hAnsi="宋体" w:cs="宋体"/>
          <w:color w:val="auto"/>
          <w:kern w:val="0"/>
          <w:szCs w:val="21"/>
          <w:highlight w:val="none"/>
          <w:u w:val="single"/>
        </w:rPr>
        <w:t>的通知》（渝建发〔</w:t>
      </w:r>
      <w:r>
        <w:rPr>
          <w:rFonts w:ascii="宋体" w:hAnsi="宋体" w:cs="宋体"/>
          <w:color w:val="auto"/>
          <w:kern w:val="0"/>
          <w:szCs w:val="21"/>
          <w:highlight w:val="none"/>
          <w:u w:val="single"/>
        </w:rPr>
        <w:t>2008</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76</w:t>
      </w:r>
      <w:r>
        <w:rPr>
          <w:rFonts w:hint="eastAsia" w:ascii="宋体" w:hAnsi="宋体" w:cs="宋体"/>
          <w:color w:val="auto"/>
          <w:kern w:val="0"/>
          <w:szCs w:val="21"/>
          <w:highlight w:val="none"/>
          <w:u w:val="single"/>
        </w:rPr>
        <w:t>号）；</w:t>
      </w:r>
    </w:p>
    <w:p w14:paraId="4624AF29">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10</w:t>
      </w:r>
      <w:r>
        <w:rPr>
          <w:rFonts w:hint="eastAsia" w:ascii="宋体" w:hAnsi="宋体" w:cs="宋体"/>
          <w:color w:val="auto"/>
          <w:kern w:val="0"/>
          <w:szCs w:val="21"/>
          <w:highlight w:val="none"/>
          <w:u w:val="single"/>
        </w:rPr>
        <w:t>）国家和本市现行有关建设工程质量验收标准、规范和要求；</w:t>
      </w:r>
    </w:p>
    <w:p w14:paraId="6A3B235F">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11</w:t>
      </w:r>
      <w:r>
        <w:rPr>
          <w:rFonts w:hint="eastAsia" w:ascii="宋体" w:hAnsi="宋体" w:cs="宋体"/>
          <w:color w:val="auto"/>
          <w:kern w:val="0"/>
          <w:szCs w:val="21"/>
          <w:highlight w:val="none"/>
          <w:u w:val="single"/>
        </w:rPr>
        <w:t>）本合同附件规定的其他质量要求。</w:t>
      </w:r>
    </w:p>
    <w:p w14:paraId="0AF6487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u w:val="single"/>
        </w:rPr>
        <w:t>承包人、监理人和发包人在工程建设中，应严格执行国家及重庆市现行标准、附件规定的其他质量要求，如上述标准及规范要求有出入则以较严格者为准。</w:t>
      </w:r>
    </w:p>
    <w:p w14:paraId="425739AC">
      <w:pPr>
        <w:widowControl/>
        <w:adjustRightInd w:val="0"/>
        <w:snapToGrid w:val="0"/>
        <w:spacing w:after="163" w:afterLines="50" w:line="360" w:lineRule="auto"/>
        <w:outlineLvl w:val="1"/>
        <w:rPr>
          <w:rFonts w:ascii="宋体" w:hAnsi="宋体" w:cs="Times"/>
          <w:color w:val="auto"/>
          <w:kern w:val="0"/>
          <w:highlight w:val="none"/>
        </w:rPr>
      </w:pPr>
      <w:bookmarkStart w:id="2640" w:name="_Toc20171878"/>
      <w:bookmarkEnd w:id="2640"/>
      <w:bookmarkStart w:id="2641" w:name="_Toc10796"/>
      <w:bookmarkStart w:id="2642" w:name="_Toc84930865"/>
      <w:bookmarkStart w:id="2643" w:name="_Toc170932596"/>
      <w:r>
        <w:rPr>
          <w:rFonts w:hint="eastAsia" w:ascii="宋体" w:hAnsi="宋体" w:cs="Times"/>
          <w:color w:val="auto"/>
          <w:kern w:val="0"/>
          <w:szCs w:val="21"/>
          <w:highlight w:val="none"/>
        </w:rPr>
        <w:t>第</w:t>
      </w:r>
      <w:r>
        <w:rPr>
          <w:rFonts w:ascii="宋体" w:hAnsi="宋体" w:cs="Times"/>
          <w:color w:val="auto"/>
          <w:kern w:val="0"/>
          <w:szCs w:val="21"/>
          <w:highlight w:val="none"/>
        </w:rPr>
        <w:t>5</w:t>
      </w:r>
      <w:r>
        <w:rPr>
          <w:rFonts w:hint="eastAsia" w:ascii="宋体" w:hAnsi="宋体" w:cs="Times"/>
          <w:color w:val="auto"/>
          <w:kern w:val="0"/>
          <w:szCs w:val="21"/>
          <w:highlight w:val="none"/>
        </w:rPr>
        <w:t>条设计</w:t>
      </w:r>
      <w:bookmarkEnd w:id="2641"/>
      <w:bookmarkEnd w:id="2642"/>
      <w:bookmarkEnd w:id="2643"/>
    </w:p>
    <w:p w14:paraId="1E706D38">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5.2 </w:t>
      </w:r>
      <w:r>
        <w:rPr>
          <w:rFonts w:hint="eastAsia" w:ascii="宋体" w:hAnsi="宋体" w:cs="宋体"/>
          <w:color w:val="auto"/>
          <w:szCs w:val="21"/>
          <w:highlight w:val="none"/>
        </w:rPr>
        <w:t>承包人文件</w:t>
      </w:r>
      <w:r>
        <w:rPr>
          <w:rFonts w:hint="eastAsia" w:ascii="宋体" w:hAnsi="宋体" w:cs="宋体"/>
          <w:color w:val="auto"/>
          <w:kern w:val="0"/>
          <w:szCs w:val="21"/>
          <w:highlight w:val="none"/>
        </w:rPr>
        <w:t>审查</w:t>
      </w:r>
    </w:p>
    <w:p w14:paraId="2F778B9D">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5.2.1</w:t>
      </w:r>
      <w:r>
        <w:rPr>
          <w:rFonts w:hint="eastAsia" w:ascii="宋体" w:hAnsi="宋体" w:cs="宋体"/>
          <w:color w:val="auto"/>
          <w:szCs w:val="21"/>
          <w:highlight w:val="none"/>
        </w:rPr>
        <w:t>承包人</w:t>
      </w:r>
      <w:r>
        <w:rPr>
          <w:rFonts w:hint="eastAsia" w:ascii="宋体" w:hAnsi="宋体" w:cs="宋体"/>
          <w:color w:val="auto"/>
          <w:kern w:val="0"/>
          <w:szCs w:val="21"/>
          <w:highlight w:val="none"/>
        </w:rPr>
        <w:t>文件审查的期限：</w:t>
      </w:r>
      <w:r>
        <w:rPr>
          <w:rFonts w:hint="eastAsia" w:ascii="宋体" w:hAnsi="宋体" w:cs="宋体"/>
          <w:color w:val="auto"/>
          <w:kern w:val="0"/>
          <w:szCs w:val="21"/>
          <w:highlight w:val="none"/>
          <w:u w:val="single"/>
        </w:rPr>
        <w:t>自监理人收到承包人文件以及承包人的通知之日起，发包人对承包人文件审查期不超过</w:t>
      </w:r>
      <w:r>
        <w:rPr>
          <w:rFonts w:ascii="宋体" w:hAnsi="宋体" w:cs="宋体"/>
          <w:color w:val="auto"/>
          <w:kern w:val="0"/>
          <w:szCs w:val="21"/>
          <w:highlight w:val="none"/>
          <w:u w:val="single"/>
        </w:rPr>
        <w:t>21</w:t>
      </w:r>
      <w:r>
        <w:rPr>
          <w:rFonts w:hint="eastAsia" w:ascii="宋体" w:hAnsi="宋体" w:cs="宋体"/>
          <w:color w:val="auto"/>
          <w:kern w:val="0"/>
          <w:szCs w:val="21"/>
          <w:highlight w:val="none"/>
          <w:u w:val="single"/>
        </w:rPr>
        <w:t>个工作日</w:t>
      </w:r>
      <w:r>
        <w:rPr>
          <w:rFonts w:hint="eastAsia" w:ascii="宋体" w:hAnsi="宋体" w:cs="宋体"/>
          <w:color w:val="auto"/>
          <w:kern w:val="0"/>
          <w:szCs w:val="21"/>
          <w:highlight w:val="none"/>
        </w:rPr>
        <w:t>。</w:t>
      </w:r>
    </w:p>
    <w:p w14:paraId="314C44E4">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5.2.2 </w:t>
      </w:r>
      <w:r>
        <w:rPr>
          <w:rFonts w:hint="eastAsia" w:ascii="宋体" w:hAnsi="宋体" w:cs="宋体"/>
          <w:color w:val="auto"/>
          <w:kern w:val="0"/>
          <w:szCs w:val="21"/>
          <w:highlight w:val="none"/>
        </w:rPr>
        <w:t>审查会议的审查形式和时间安排为：</w:t>
      </w:r>
      <w:r>
        <w:rPr>
          <w:rFonts w:hint="eastAsia" w:ascii="宋体" w:hAnsi="宋体" w:cs="宋体"/>
          <w:color w:val="auto"/>
          <w:kern w:val="0"/>
          <w:szCs w:val="21"/>
          <w:highlight w:val="none"/>
          <w:u w:val="single"/>
        </w:rPr>
        <w:t>根据工程实际情况通知为准 ，</w:t>
      </w:r>
      <w:r>
        <w:rPr>
          <w:rFonts w:hint="eastAsia" w:ascii="宋体" w:hAnsi="宋体" w:cs="宋体"/>
          <w:color w:val="auto"/>
          <w:kern w:val="0"/>
          <w:szCs w:val="21"/>
          <w:highlight w:val="none"/>
        </w:rPr>
        <w:t>审查会议的相关费用由承包人承担。</w:t>
      </w:r>
    </w:p>
    <w:p w14:paraId="047E2723">
      <w:pPr>
        <w:widowControl/>
        <w:spacing w:line="520" w:lineRule="exact"/>
        <w:ind w:firstLine="420" w:firstLineChars="200"/>
        <w:jc w:val="left"/>
        <w:rPr>
          <w:color w:val="auto"/>
          <w:highlight w:val="none"/>
        </w:rPr>
      </w:pPr>
      <w:r>
        <w:rPr>
          <w:rFonts w:ascii="宋体" w:hAnsi="宋体" w:cs="宋体"/>
          <w:color w:val="auto"/>
          <w:kern w:val="0"/>
          <w:szCs w:val="21"/>
          <w:highlight w:val="none"/>
        </w:rPr>
        <w:t>5.2.3</w:t>
      </w:r>
      <w:r>
        <w:rPr>
          <w:rFonts w:hint="eastAsia"/>
          <w:color w:val="auto"/>
          <w:highlight w:val="none"/>
        </w:rPr>
        <w:t>关于第三方审查单位的约定：</w:t>
      </w:r>
      <w:r>
        <w:rPr>
          <w:rFonts w:hint="eastAsia" w:ascii="宋体" w:hAnsi="宋体" w:cs="宋体"/>
          <w:color w:val="auto"/>
          <w:kern w:val="0"/>
          <w:szCs w:val="21"/>
          <w:highlight w:val="none"/>
          <w:u w:val="single"/>
        </w:rPr>
        <w:t>若为承包人委托的单位，需发包人同意。</w:t>
      </w:r>
    </w:p>
    <w:p w14:paraId="4449306B">
      <w:pPr>
        <w:widowControl/>
        <w:adjustRightInd w:val="0"/>
        <w:snapToGrid w:val="0"/>
        <w:spacing w:after="163" w:afterLines="50" w:line="52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5.3 </w:t>
      </w:r>
      <w:r>
        <w:rPr>
          <w:rFonts w:hint="eastAsia" w:ascii="宋体" w:hAnsi="宋体" w:cs="宋体"/>
          <w:color w:val="auto"/>
          <w:kern w:val="0"/>
          <w:szCs w:val="21"/>
          <w:highlight w:val="none"/>
        </w:rPr>
        <w:t>培训</w:t>
      </w:r>
    </w:p>
    <w:p w14:paraId="052071E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培训的时长为，承包人应为培训提供的人员、设施和其它必要条件为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77C65EF">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5.4 </w:t>
      </w:r>
      <w:r>
        <w:rPr>
          <w:rFonts w:hint="eastAsia" w:ascii="宋体" w:hAnsi="宋体" w:cs="宋体"/>
          <w:color w:val="auto"/>
          <w:kern w:val="0"/>
          <w:szCs w:val="21"/>
          <w:highlight w:val="none"/>
        </w:rPr>
        <w:t>竣工文件</w:t>
      </w:r>
    </w:p>
    <w:p w14:paraId="155E01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5.4.1 </w:t>
      </w:r>
      <w:r>
        <w:rPr>
          <w:rFonts w:hint="eastAsia" w:ascii="宋体" w:hAnsi="宋体" w:cs="宋体"/>
          <w:color w:val="auto"/>
          <w:kern w:val="0"/>
          <w:szCs w:val="21"/>
          <w:highlight w:val="none"/>
        </w:rPr>
        <w:t>承包人提交的竣工文件的内容：工程施工技术资料、工程质量保证资料、工程检验评定资料、竣工图及其他应交资料，应符合《建设工程文件归档整理规范》（</w:t>
      </w:r>
      <w:r>
        <w:rPr>
          <w:rFonts w:ascii="宋体" w:hAnsi="宋体" w:cs="宋体"/>
          <w:color w:val="auto"/>
          <w:kern w:val="0"/>
          <w:szCs w:val="21"/>
          <w:highlight w:val="none"/>
        </w:rPr>
        <w:t>GB/T50328-2014</w:t>
      </w:r>
      <w:r>
        <w:rPr>
          <w:rFonts w:hint="eastAsia" w:ascii="宋体" w:hAnsi="宋体" w:cs="宋体"/>
          <w:color w:val="auto"/>
          <w:kern w:val="0"/>
          <w:szCs w:val="21"/>
          <w:highlight w:val="none"/>
        </w:rPr>
        <w:t>）和重庆市有关文件规定。</w:t>
      </w:r>
    </w:p>
    <w:p w14:paraId="031CD0A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承包人需要提交的竣工文件套数：完整竣工文件一式</w:t>
      </w:r>
      <w:r>
        <w:rPr>
          <w:rFonts w:hint="eastAsia" w:ascii="宋体" w:hAnsi="宋体" w:cs="宋体"/>
          <w:color w:val="auto"/>
          <w:kern w:val="0"/>
          <w:szCs w:val="21"/>
          <w:highlight w:val="none"/>
          <w:u w:val="single"/>
        </w:rPr>
        <w:t xml:space="preserve"> 伍 </w:t>
      </w:r>
      <w:r>
        <w:rPr>
          <w:rFonts w:hint="eastAsia" w:ascii="宋体" w:hAnsi="宋体" w:cs="宋体"/>
          <w:color w:val="auto"/>
          <w:kern w:val="0"/>
          <w:szCs w:val="21"/>
          <w:highlight w:val="none"/>
        </w:rPr>
        <w:t>套（含纸质版竣工图伍套，电子版竣工图伍套）。</w:t>
      </w:r>
    </w:p>
    <w:p w14:paraId="4CF7B20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承包人提交的竣工文件的费用承担：由承包人承担。</w:t>
      </w:r>
    </w:p>
    <w:p w14:paraId="0318169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承包人提交的竣工文件移交时间：工程竣工验收合格后</w:t>
      </w:r>
      <w:r>
        <w:rPr>
          <w:rFonts w:hint="eastAsia" w:ascii="宋体" w:hAnsi="宋体" w:cs="宋体"/>
          <w:color w:val="auto"/>
          <w:kern w:val="0"/>
          <w:szCs w:val="21"/>
          <w:highlight w:val="none"/>
          <w:u w:val="single"/>
        </w:rPr>
        <w:t xml:space="preserve"> 壹 </w:t>
      </w:r>
      <w:r>
        <w:rPr>
          <w:rFonts w:hint="eastAsia" w:ascii="宋体" w:hAnsi="宋体" w:cs="宋体"/>
          <w:color w:val="auto"/>
          <w:kern w:val="0"/>
          <w:szCs w:val="21"/>
          <w:highlight w:val="none"/>
        </w:rPr>
        <w:t>个月内移交给发包人。</w:t>
      </w:r>
    </w:p>
    <w:p w14:paraId="7B917E1C">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承包人提交的竣工文件形式要求：完整的书面文件及电子文档。</w:t>
      </w:r>
    </w:p>
    <w:p w14:paraId="06F1B4C0">
      <w:pPr>
        <w:widowControl/>
        <w:spacing w:line="480" w:lineRule="exact"/>
        <w:ind w:firstLine="420" w:firstLineChars="200"/>
        <w:jc w:val="left"/>
        <w:rPr>
          <w:color w:val="auto"/>
          <w:highlight w:val="none"/>
          <w:u w:val="single"/>
        </w:rPr>
      </w:pPr>
      <w:r>
        <w:rPr>
          <w:rFonts w:ascii="宋体" w:hAnsi="宋体" w:cs="宋体"/>
          <w:color w:val="auto"/>
          <w:kern w:val="0"/>
          <w:szCs w:val="21"/>
          <w:highlight w:val="none"/>
        </w:rPr>
        <w:t>5.4.3</w:t>
      </w:r>
      <w:r>
        <w:rPr>
          <w:rFonts w:hint="eastAsia"/>
          <w:color w:val="auto"/>
          <w:highlight w:val="none"/>
        </w:rPr>
        <w:t>关于竣工文件的其他约定：</w:t>
      </w:r>
      <w:r>
        <w:rPr>
          <w:rFonts w:hint="eastAsia" w:ascii="宋体" w:hAnsi="宋体" w:cs="宋体"/>
          <w:color w:val="auto"/>
          <w:kern w:val="0"/>
          <w:szCs w:val="21"/>
          <w:highlight w:val="none"/>
          <w:u w:val="single"/>
          <w:lang w:bidi="ar"/>
        </w:rPr>
        <w:t xml:space="preserve">结算资料在完工验收合格 </w:t>
      </w:r>
      <w:r>
        <w:rPr>
          <w:color w:val="auto"/>
          <w:kern w:val="0"/>
          <w:szCs w:val="21"/>
          <w:highlight w:val="none"/>
          <w:u w:val="single"/>
          <w:lang w:bidi="ar"/>
        </w:rPr>
        <w:t xml:space="preserve">1 </w:t>
      </w:r>
      <w:r>
        <w:rPr>
          <w:rFonts w:hint="eastAsia" w:ascii="宋体" w:hAnsi="宋体" w:cs="宋体"/>
          <w:color w:val="auto"/>
          <w:kern w:val="0"/>
          <w:szCs w:val="21"/>
          <w:highlight w:val="none"/>
          <w:u w:val="single"/>
          <w:lang w:bidi="ar"/>
        </w:rPr>
        <w:t>个月内提交业主内审。</w:t>
      </w:r>
    </w:p>
    <w:p w14:paraId="3699EB8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5.5 </w:t>
      </w:r>
      <w:r>
        <w:rPr>
          <w:rFonts w:hint="eastAsia" w:ascii="宋体" w:hAnsi="宋体" w:cs="宋体"/>
          <w:color w:val="auto"/>
          <w:kern w:val="0"/>
          <w:szCs w:val="21"/>
          <w:highlight w:val="none"/>
        </w:rPr>
        <w:t>操作和维修手册</w:t>
      </w:r>
    </w:p>
    <w:p w14:paraId="1816F936">
      <w:pPr>
        <w:widowControl/>
        <w:adjustRightInd w:val="0"/>
        <w:snapToGrid w:val="0"/>
        <w:spacing w:after="163" w:afterLines="50"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5.5.3对最终操作和维修手册的约定：</w:t>
      </w:r>
      <w:r>
        <w:rPr>
          <w:rFonts w:hint="eastAsia" w:ascii="宋体" w:hAnsi="宋体" w:cs="宋体"/>
          <w:color w:val="auto"/>
          <w:kern w:val="0"/>
          <w:szCs w:val="21"/>
          <w:highlight w:val="none"/>
          <w:u w:val="single"/>
        </w:rPr>
        <w:t xml:space="preserve">承承包人需将操作和维修手册及售后服务联系方式、联系人 </w:t>
      </w:r>
    </w:p>
    <w:p w14:paraId="5C2F3363">
      <w:pPr>
        <w:widowControl/>
        <w:adjustRightInd w:val="0"/>
        <w:snapToGrid w:val="0"/>
        <w:spacing w:after="163" w:afterLines="50" w:line="400" w:lineRule="exac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移交发包人，且对发包人相关人员进行操作培训 。</w:t>
      </w:r>
    </w:p>
    <w:p w14:paraId="5B0E72EF">
      <w:pPr>
        <w:widowControl/>
        <w:adjustRightInd w:val="0"/>
        <w:snapToGrid w:val="0"/>
        <w:spacing w:after="163" w:afterLines="50" w:line="360" w:lineRule="auto"/>
        <w:outlineLvl w:val="1"/>
        <w:rPr>
          <w:rFonts w:ascii="宋体" w:hAnsi="宋体" w:cs="Times"/>
          <w:color w:val="auto"/>
          <w:kern w:val="0"/>
          <w:highlight w:val="none"/>
        </w:rPr>
      </w:pPr>
      <w:bookmarkStart w:id="2644" w:name="_Toc20171879"/>
      <w:bookmarkEnd w:id="2644"/>
      <w:bookmarkStart w:id="2645" w:name="_Toc84930866"/>
      <w:bookmarkStart w:id="2646" w:name="_Toc29938"/>
      <w:bookmarkStart w:id="2647" w:name="_Toc170932597"/>
      <w:r>
        <w:rPr>
          <w:rFonts w:hint="eastAsia" w:ascii="宋体" w:hAnsi="宋体" w:cs="Times"/>
          <w:color w:val="auto"/>
          <w:kern w:val="0"/>
          <w:szCs w:val="21"/>
          <w:highlight w:val="none"/>
        </w:rPr>
        <w:t>第</w:t>
      </w:r>
      <w:r>
        <w:rPr>
          <w:rFonts w:ascii="宋体" w:hAnsi="宋体" w:cs="Times"/>
          <w:color w:val="auto"/>
          <w:kern w:val="0"/>
          <w:szCs w:val="21"/>
          <w:highlight w:val="none"/>
        </w:rPr>
        <w:t>6</w:t>
      </w:r>
      <w:r>
        <w:rPr>
          <w:rFonts w:hint="eastAsia" w:ascii="宋体" w:hAnsi="宋体" w:cs="Times"/>
          <w:color w:val="auto"/>
          <w:kern w:val="0"/>
          <w:szCs w:val="21"/>
          <w:highlight w:val="none"/>
        </w:rPr>
        <w:t>条材料、工程设备</w:t>
      </w:r>
      <w:bookmarkEnd w:id="2645"/>
      <w:bookmarkEnd w:id="2646"/>
      <w:bookmarkEnd w:id="2647"/>
    </w:p>
    <w:p w14:paraId="76ED39E9">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6.1 </w:t>
      </w:r>
      <w:r>
        <w:rPr>
          <w:rFonts w:hint="eastAsia" w:ascii="宋体" w:hAnsi="宋体" w:cs="宋体"/>
          <w:color w:val="auto"/>
          <w:kern w:val="0"/>
          <w:szCs w:val="21"/>
          <w:highlight w:val="none"/>
        </w:rPr>
        <w:t>实施方法</w:t>
      </w:r>
    </w:p>
    <w:p w14:paraId="527834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双方当事人约定的实施方法、设备、设施和材料：</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F73741B">
      <w:pPr>
        <w:widowControl/>
        <w:adjustRightInd w:val="0"/>
        <w:snapToGrid w:val="0"/>
        <w:spacing w:after="163" w:afterLines="50"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6.2 </w:t>
      </w:r>
      <w:r>
        <w:rPr>
          <w:rFonts w:hint="eastAsia" w:ascii="宋体" w:hAnsi="宋体" w:cs="宋体"/>
          <w:color w:val="auto"/>
          <w:kern w:val="0"/>
          <w:szCs w:val="21"/>
          <w:highlight w:val="none"/>
        </w:rPr>
        <w:t>材料和工程设备</w:t>
      </w:r>
    </w:p>
    <w:p w14:paraId="57258C8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6.2.1 </w:t>
      </w:r>
      <w:r>
        <w:rPr>
          <w:rFonts w:hint="eastAsia" w:ascii="宋体" w:hAnsi="宋体" w:cs="宋体"/>
          <w:color w:val="auto"/>
          <w:kern w:val="0"/>
          <w:szCs w:val="21"/>
          <w:highlight w:val="none"/>
        </w:rPr>
        <w:t>发包人提供的材料和工程设备</w:t>
      </w:r>
    </w:p>
    <w:p w14:paraId="2F3115A5">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u w:val="single"/>
        </w:rPr>
        <w:t>发包人应提供甲供材料的明细表，结算时按经监理人、承包人共同确认的供应数量乘以招标时甲供材料暂定价格，在支付工程款时扣除。</w:t>
      </w:r>
    </w:p>
    <w:p w14:paraId="3273EC8E">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发包人提供的材料和工程设备验收后，由</w:t>
      </w:r>
      <w:r>
        <w:rPr>
          <w:rFonts w:hint="eastAsia" w:ascii="宋体" w:hAnsi="宋体" w:cs="宋体"/>
          <w:color w:val="auto"/>
          <w:kern w:val="0"/>
          <w:szCs w:val="21"/>
          <w:highlight w:val="none"/>
          <w:u w:val="single"/>
        </w:rPr>
        <w:t>承包人</w:t>
      </w:r>
      <w:r>
        <w:rPr>
          <w:rFonts w:hint="eastAsia" w:ascii="宋体" w:hAnsi="宋体" w:cs="宋体"/>
          <w:color w:val="auto"/>
          <w:kern w:val="0"/>
          <w:szCs w:val="21"/>
          <w:highlight w:val="none"/>
        </w:rPr>
        <w:t>负责接收、运输和保管。</w:t>
      </w:r>
    </w:p>
    <w:p w14:paraId="3BA6E26F">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发包人按约定的内容提供材料设备并对提供的材料设备质量负责，承包人按施工规范和检测规范对一切进场材料进行质量检验，承包人有权退回检验不合格的材料；承包人对投入使用的材料质量负责。</w:t>
      </w:r>
    </w:p>
    <w:p w14:paraId="178B62D2">
      <w:pPr>
        <w:widowControl/>
        <w:adjustRightInd w:val="0"/>
        <w:snapToGrid w:val="0"/>
        <w:spacing w:after="163" w:afterLines="50" w:line="44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6.2.2 </w:t>
      </w:r>
      <w:r>
        <w:rPr>
          <w:rFonts w:hint="eastAsia" w:ascii="宋体" w:hAnsi="宋体" w:cs="宋体"/>
          <w:color w:val="auto"/>
          <w:kern w:val="0"/>
          <w:szCs w:val="21"/>
          <w:highlight w:val="none"/>
        </w:rPr>
        <w:t>承包人提供的材料和工程设备</w:t>
      </w:r>
    </w:p>
    <w:p w14:paraId="1A7176E5">
      <w:pPr>
        <w:widowControl/>
        <w:spacing w:line="440" w:lineRule="exact"/>
        <w:ind w:firstLine="420" w:firstLineChars="200"/>
        <w:jc w:val="left"/>
        <w:rPr>
          <w:color w:val="auto"/>
          <w:highlight w:val="none"/>
          <w:u w:val="single"/>
        </w:rPr>
      </w:pPr>
      <w:r>
        <w:rPr>
          <w:rFonts w:hint="eastAsia" w:ascii="宋体" w:hAnsi="宋体" w:cs="宋体"/>
          <w:color w:val="auto"/>
          <w:kern w:val="0"/>
          <w:szCs w:val="21"/>
          <w:highlight w:val="none"/>
        </w:rPr>
        <w:t>材料和工程设备的类别、估算数量：</w:t>
      </w:r>
      <w:r>
        <w:rPr>
          <w:rFonts w:hint="eastAsia" w:ascii="宋体" w:hAnsi="宋体" w:cs="宋体"/>
          <w:color w:val="auto"/>
          <w:kern w:val="0"/>
          <w:szCs w:val="21"/>
          <w:highlight w:val="none"/>
          <w:u w:val="single"/>
          <w:lang w:bidi="ar"/>
        </w:rPr>
        <w:t xml:space="preserve">承包人对设备、材料品牌的采购必须提前 20 日历天报监理工 </w:t>
      </w:r>
    </w:p>
    <w:p w14:paraId="5EACFF71">
      <w:pPr>
        <w:widowControl/>
        <w:spacing w:line="440" w:lineRule="exact"/>
        <w:jc w:val="left"/>
        <w:rPr>
          <w:color w:val="auto"/>
          <w:highlight w:val="none"/>
          <w:u w:val="single"/>
        </w:rPr>
      </w:pPr>
      <w:r>
        <w:rPr>
          <w:rFonts w:hint="eastAsia" w:ascii="宋体" w:hAnsi="宋体" w:cs="宋体"/>
          <w:color w:val="auto"/>
          <w:kern w:val="0"/>
          <w:szCs w:val="21"/>
          <w:highlight w:val="none"/>
          <w:u w:val="single"/>
          <w:lang w:bidi="ar"/>
        </w:rPr>
        <w:t xml:space="preserve">程师和发包方确认（材料、设备报送内容包括但不限于：规格型号、品牌或生产厂家及数量，技术参数、 </w:t>
      </w:r>
    </w:p>
    <w:p w14:paraId="3E435D0B">
      <w:pPr>
        <w:widowControl/>
        <w:spacing w:line="440" w:lineRule="exact"/>
        <w:jc w:val="left"/>
        <w:rPr>
          <w:color w:val="auto"/>
          <w:highlight w:val="none"/>
          <w:u w:val="single"/>
        </w:rPr>
      </w:pPr>
      <w:r>
        <w:rPr>
          <w:rFonts w:hint="eastAsia" w:ascii="宋体" w:hAnsi="宋体" w:cs="宋体"/>
          <w:color w:val="auto"/>
          <w:kern w:val="0"/>
          <w:szCs w:val="21"/>
          <w:highlight w:val="none"/>
          <w:u w:val="single"/>
          <w:lang w:bidi="ar"/>
        </w:rPr>
        <w:t xml:space="preserve">材质等），未按比选文件约定采购、未按规定检验或检验不合格的材料、设备不得用于工程使用。承包 </w:t>
      </w:r>
    </w:p>
    <w:p w14:paraId="55EFCB20">
      <w:pPr>
        <w:widowControl/>
        <w:spacing w:line="440" w:lineRule="exact"/>
        <w:jc w:val="left"/>
        <w:rPr>
          <w:color w:val="auto"/>
          <w:highlight w:val="none"/>
          <w:u w:val="single"/>
        </w:rPr>
      </w:pPr>
      <w:r>
        <w:rPr>
          <w:rFonts w:hint="eastAsia" w:ascii="宋体" w:hAnsi="宋体" w:cs="宋体"/>
          <w:color w:val="auto"/>
          <w:kern w:val="0"/>
          <w:szCs w:val="21"/>
          <w:highlight w:val="none"/>
          <w:u w:val="single"/>
          <w:lang w:bidi="ar"/>
        </w:rPr>
        <w:t xml:space="preserve">人所供材料、设备采购计划在进场 7 个日历天前以书面形式分别报监理工程师、发包人，监理工程师和 </w:t>
      </w:r>
    </w:p>
    <w:p w14:paraId="41008494">
      <w:pPr>
        <w:widowControl/>
        <w:spacing w:line="440" w:lineRule="exact"/>
        <w:jc w:val="left"/>
        <w:rPr>
          <w:color w:val="auto"/>
          <w:highlight w:val="none"/>
          <w:u w:val="single"/>
        </w:rPr>
      </w:pPr>
      <w:r>
        <w:rPr>
          <w:rFonts w:hint="eastAsia" w:ascii="宋体" w:hAnsi="宋体" w:cs="宋体"/>
          <w:color w:val="auto"/>
          <w:kern w:val="0"/>
          <w:szCs w:val="21"/>
          <w:highlight w:val="none"/>
          <w:u w:val="single"/>
          <w:lang w:bidi="ar"/>
        </w:rPr>
        <w:t>发包人收到承包人的书面报告后 3 个日历天内予以确认 （如果有） 。</w:t>
      </w:r>
    </w:p>
    <w:p w14:paraId="6C425CE4">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竣工后试验的生产性材料的类别或（和）清单：</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636342C">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由承包人自行采购。承包人采购材料设备必须经监理人和发包人批准，结算时由监理人和发包人按比选文件规定审核的数量和合同约定价格计算。</w:t>
      </w:r>
    </w:p>
    <w:p w14:paraId="3B14C7CB">
      <w:pPr>
        <w:widowControl/>
        <w:adjustRightInd w:val="0"/>
        <w:snapToGrid w:val="0"/>
        <w:spacing w:after="163" w:afterLines="50" w:line="44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6.2.3</w:t>
      </w:r>
      <w:r>
        <w:rPr>
          <w:rFonts w:hint="eastAsia" w:ascii="宋体" w:hAnsi="宋体" w:cs="宋体"/>
          <w:color w:val="auto"/>
          <w:kern w:val="0"/>
          <w:szCs w:val="21"/>
          <w:highlight w:val="none"/>
        </w:rPr>
        <w:t>材料和工程设备的保管</w:t>
      </w:r>
    </w:p>
    <w:p w14:paraId="3AF95FE3">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发包人供应的材料和工程设备的保管费用由</w:t>
      </w:r>
      <w:r>
        <w:rPr>
          <w:rFonts w:hint="eastAsia" w:ascii="宋体" w:hAnsi="宋体" w:cs="宋体"/>
          <w:color w:val="auto"/>
          <w:kern w:val="0"/>
          <w:szCs w:val="21"/>
          <w:highlight w:val="none"/>
          <w:u w:val="single"/>
        </w:rPr>
        <w:t xml:space="preserve">  承包人 </w:t>
      </w:r>
      <w:r>
        <w:rPr>
          <w:rFonts w:hint="eastAsia" w:ascii="宋体" w:hAnsi="宋体" w:cs="宋体"/>
          <w:color w:val="auto"/>
          <w:kern w:val="0"/>
          <w:szCs w:val="21"/>
          <w:highlight w:val="none"/>
        </w:rPr>
        <w:t>承担。</w:t>
      </w:r>
    </w:p>
    <w:p w14:paraId="3F6F0D40">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承包人提交保管、维护方案的时间：材料和工程设备到货</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天前</w:t>
      </w:r>
      <w:r>
        <w:rPr>
          <w:rFonts w:hint="eastAsia" w:ascii="宋体" w:hAnsi="宋体" w:cs="宋体"/>
          <w:color w:val="auto"/>
          <w:kern w:val="0"/>
          <w:szCs w:val="21"/>
          <w:highlight w:val="none"/>
        </w:rPr>
        <w:t>。</w:t>
      </w:r>
    </w:p>
    <w:p w14:paraId="45ACB069">
      <w:pPr>
        <w:widowControl/>
        <w:spacing w:line="440" w:lineRule="exact"/>
        <w:ind w:firstLine="420" w:firstLineChars="200"/>
        <w:jc w:val="left"/>
        <w:rPr>
          <w:color w:val="auto"/>
          <w:highlight w:val="none"/>
        </w:rPr>
      </w:pPr>
      <w:r>
        <w:rPr>
          <w:rFonts w:hint="eastAsia" w:ascii="宋体" w:hAnsi="宋体" w:cs="宋体"/>
          <w:color w:val="auto"/>
          <w:kern w:val="0"/>
          <w:szCs w:val="21"/>
          <w:highlight w:val="none"/>
        </w:rPr>
        <w:t>发包人提供的库房、堆场、设施和设备：</w:t>
      </w:r>
      <w:r>
        <w:rPr>
          <w:rFonts w:hint="eastAsia" w:ascii="宋体" w:hAnsi="宋体" w:cs="宋体"/>
          <w:color w:val="auto"/>
          <w:kern w:val="0"/>
          <w:szCs w:val="21"/>
          <w:highlight w:val="none"/>
          <w:u w:val="single"/>
        </w:rPr>
        <w:t xml:space="preserve"> 承包人自行综合考虑，不另行计费 。</w:t>
      </w:r>
    </w:p>
    <w:p w14:paraId="3DCDD6C9">
      <w:pPr>
        <w:widowControl/>
        <w:adjustRightInd w:val="0"/>
        <w:snapToGrid w:val="0"/>
        <w:spacing w:after="163" w:afterLines="50" w:line="44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本款补充</w:t>
      </w:r>
      <w:r>
        <w:rPr>
          <w:rFonts w:ascii="宋体" w:hAnsi="宋体" w:cs="宋体"/>
          <w:color w:val="auto"/>
          <w:kern w:val="0"/>
          <w:szCs w:val="21"/>
          <w:highlight w:val="none"/>
        </w:rPr>
        <w:t>6.2.4</w:t>
      </w:r>
      <w:r>
        <w:rPr>
          <w:rFonts w:hint="eastAsia" w:ascii="宋体" w:hAnsi="宋体" w:cs="宋体"/>
          <w:color w:val="auto"/>
          <w:kern w:val="0"/>
          <w:szCs w:val="21"/>
          <w:highlight w:val="none"/>
        </w:rPr>
        <w:t>项：</w:t>
      </w:r>
    </w:p>
    <w:p w14:paraId="0AEF9EEB">
      <w:pPr>
        <w:widowControl/>
        <w:adjustRightInd w:val="0"/>
        <w:snapToGrid w:val="0"/>
        <w:spacing w:after="163" w:afterLines="50" w:line="44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6.2.4</w:t>
      </w:r>
      <w:r>
        <w:rPr>
          <w:rFonts w:hint="eastAsia" w:ascii="宋体" w:hAnsi="宋体" w:cs="宋体"/>
          <w:color w:val="auto"/>
          <w:kern w:val="0"/>
          <w:szCs w:val="21"/>
          <w:highlight w:val="none"/>
        </w:rPr>
        <w:t>承包人选择的材料和工程设备满足下列要求：</w:t>
      </w:r>
    </w:p>
    <w:p w14:paraId="49552BE8">
      <w:pPr>
        <w:widowControl/>
        <w:spacing w:line="480" w:lineRule="exact"/>
        <w:ind w:firstLine="420" w:firstLineChars="200"/>
        <w:jc w:val="left"/>
        <w:rPr>
          <w:color w:val="auto"/>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承包人选择的专业设备材料供应商应满足：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bidi="ar"/>
        </w:rPr>
        <w:t>满足技术规范及发包人使用需求。</w:t>
      </w:r>
    </w:p>
    <w:p w14:paraId="1A9FBAA3">
      <w:pPr>
        <w:widowControl/>
        <w:spacing w:line="480" w:lineRule="exact"/>
        <w:ind w:firstLine="420" w:firstLineChars="200"/>
        <w:jc w:val="left"/>
        <w:rPr>
          <w:color w:val="auto"/>
          <w:highlight w:val="none"/>
          <w:u w:val="single"/>
        </w:rPr>
      </w:pPr>
      <w:r>
        <w:rPr>
          <w:rFonts w:ascii="宋体" w:hAnsi="宋体" w:cs="宋体"/>
          <w:color w:val="auto"/>
          <w:kern w:val="0"/>
          <w:szCs w:val="21"/>
          <w:highlight w:val="none"/>
        </w:rPr>
        <w:t>B.</w:t>
      </w:r>
      <w:r>
        <w:rPr>
          <w:rFonts w:hint="eastAsia" w:ascii="宋体" w:hAnsi="宋体" w:cs="宋体"/>
          <w:color w:val="auto"/>
          <w:kern w:val="0"/>
          <w:szCs w:val="21"/>
          <w:highlight w:val="none"/>
        </w:rPr>
        <w:t>承包人选择的混凝土、钢材、水泥供应商应满足：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bidi="ar"/>
        </w:rPr>
        <w:t>满足设计及相关规范要求 。</w:t>
      </w:r>
    </w:p>
    <w:p w14:paraId="078585E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C.</w:t>
      </w:r>
      <w:r>
        <w:rPr>
          <w:rFonts w:hint="eastAsia" w:ascii="宋体" w:hAnsi="宋体" w:cs="宋体"/>
          <w:color w:val="auto"/>
          <w:kern w:val="0"/>
          <w:szCs w:val="21"/>
          <w:highlight w:val="none"/>
        </w:rPr>
        <w:t>承包人采购的材料与设计或标准要求不符时，承包人应按发包人和监理人要求的时间运出施工场地，并重新采购符合要求的产品，并承担由此发生的费用，因此延误的工期不予顺延。</w:t>
      </w:r>
    </w:p>
    <w:p w14:paraId="3DC74C9C">
      <w:pPr>
        <w:widowControl/>
        <w:adjustRightInd w:val="0"/>
        <w:snapToGrid w:val="0"/>
        <w:spacing w:after="163" w:afterLines="50" w:line="44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D.</w:t>
      </w:r>
      <w:r>
        <w:rPr>
          <w:rFonts w:hint="eastAsia" w:ascii="宋体" w:hAnsi="宋体" w:cs="宋体"/>
          <w:color w:val="auto"/>
          <w:kern w:val="0"/>
          <w:szCs w:val="21"/>
          <w:highlight w:val="none"/>
        </w:rPr>
        <w:t>承包人采购的材料在使用前，应按发包人和监理人的要求进行检验或试验，不合格的不得使用。</w:t>
      </w:r>
    </w:p>
    <w:p w14:paraId="7C8F0E1A">
      <w:pPr>
        <w:widowControl/>
        <w:adjustRightInd w:val="0"/>
        <w:snapToGrid w:val="0"/>
        <w:spacing w:after="163" w:afterLines="50" w:line="44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E.</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D889F9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6.3 </w:t>
      </w:r>
      <w:r>
        <w:rPr>
          <w:rFonts w:hint="eastAsia" w:ascii="宋体" w:hAnsi="宋体" w:cs="宋体"/>
          <w:color w:val="auto"/>
          <w:kern w:val="0"/>
          <w:szCs w:val="21"/>
          <w:highlight w:val="none"/>
        </w:rPr>
        <w:t>样品</w:t>
      </w:r>
    </w:p>
    <w:p w14:paraId="72F1B2E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6.3.1 </w:t>
      </w:r>
      <w:r>
        <w:rPr>
          <w:rFonts w:hint="eastAsia" w:ascii="宋体" w:hAnsi="宋体" w:cs="宋体"/>
          <w:color w:val="auto"/>
          <w:kern w:val="0"/>
          <w:szCs w:val="21"/>
          <w:highlight w:val="none"/>
        </w:rPr>
        <w:t>样品的报送与封存</w:t>
      </w:r>
    </w:p>
    <w:p w14:paraId="0CC4736A">
      <w:pPr>
        <w:widowControl/>
        <w:spacing w:line="480" w:lineRule="exact"/>
        <w:ind w:firstLine="420" w:firstLineChars="200"/>
        <w:jc w:val="left"/>
        <w:rPr>
          <w:color w:val="auto"/>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kern w:val="0"/>
          <w:szCs w:val="21"/>
          <w:highlight w:val="none"/>
          <w:u w:val="single"/>
          <w:lang w:bidi="ar"/>
        </w:rPr>
        <w:t xml:space="preserve">承包人报送的样品， </w:t>
      </w:r>
    </w:p>
    <w:p w14:paraId="5107150C">
      <w:pPr>
        <w:widowControl/>
        <w:spacing w:line="480" w:lineRule="exact"/>
        <w:jc w:val="left"/>
        <w:rPr>
          <w:color w:val="auto"/>
          <w:highlight w:val="none"/>
          <w:u w:val="single"/>
        </w:rPr>
      </w:pPr>
      <w:r>
        <w:rPr>
          <w:rFonts w:hint="eastAsia" w:ascii="宋体" w:hAnsi="宋体" w:cs="宋体"/>
          <w:color w:val="auto"/>
          <w:kern w:val="0"/>
          <w:szCs w:val="21"/>
          <w:highlight w:val="none"/>
          <w:u w:val="single"/>
          <w:lang w:bidi="ar"/>
        </w:rPr>
        <w:t xml:space="preserve">经监理工程师和发包人确认后，应将样品一式两份封样，一份由监理人保存，一份由发包人保存，如承 </w:t>
      </w:r>
    </w:p>
    <w:p w14:paraId="0C1D0B12">
      <w:pPr>
        <w:widowControl/>
        <w:spacing w:line="480" w:lineRule="exact"/>
        <w:jc w:val="left"/>
        <w:rPr>
          <w:color w:val="auto"/>
          <w:highlight w:val="none"/>
          <w:u w:val="single"/>
        </w:rPr>
      </w:pPr>
      <w:r>
        <w:rPr>
          <w:rFonts w:hint="eastAsia" w:ascii="宋体" w:hAnsi="宋体" w:cs="宋体"/>
          <w:color w:val="auto"/>
          <w:kern w:val="0"/>
          <w:szCs w:val="21"/>
          <w:highlight w:val="none"/>
          <w:u w:val="single"/>
          <w:lang w:bidi="ar"/>
        </w:rPr>
        <w:t xml:space="preserve">包人实际采购的材料及设备与封样样品不一致的，视承包人违约，给发包人造成直接或间接损失的，按 </w:t>
      </w:r>
    </w:p>
    <w:p w14:paraId="22E4881B">
      <w:pPr>
        <w:widowControl/>
        <w:spacing w:line="480" w:lineRule="exact"/>
        <w:jc w:val="left"/>
        <w:rPr>
          <w:rFonts w:ascii="宋体" w:hAnsi="宋体" w:cs="宋体"/>
          <w:color w:val="auto"/>
          <w:kern w:val="0"/>
          <w:highlight w:val="none"/>
        </w:rPr>
      </w:pPr>
      <w:r>
        <w:rPr>
          <w:rFonts w:hint="eastAsia" w:ascii="宋体" w:hAnsi="宋体" w:cs="宋体"/>
          <w:color w:val="auto"/>
          <w:kern w:val="0"/>
          <w:szCs w:val="21"/>
          <w:highlight w:val="none"/>
          <w:u w:val="single"/>
          <w:lang w:bidi="ar"/>
        </w:rPr>
        <w:t>损失金额的双倍赔偿给发包人，同时承包人应承担相应法律及违约责任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8EDFDE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6.4 </w:t>
      </w:r>
      <w:r>
        <w:rPr>
          <w:rFonts w:hint="eastAsia" w:ascii="宋体" w:hAnsi="宋体" w:cs="宋体"/>
          <w:color w:val="auto"/>
          <w:kern w:val="0"/>
          <w:szCs w:val="21"/>
          <w:highlight w:val="none"/>
        </w:rPr>
        <w:t>质量检查</w:t>
      </w:r>
    </w:p>
    <w:p w14:paraId="75E333C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6.4.1 </w:t>
      </w:r>
      <w:r>
        <w:rPr>
          <w:rFonts w:hint="eastAsia" w:ascii="宋体" w:hAnsi="宋体" w:cs="宋体"/>
          <w:color w:val="auto"/>
          <w:kern w:val="0"/>
          <w:szCs w:val="21"/>
          <w:highlight w:val="none"/>
        </w:rPr>
        <w:t>工程质量要求</w:t>
      </w:r>
    </w:p>
    <w:p w14:paraId="02A4FD51">
      <w:pPr>
        <w:snapToGrid w:val="0"/>
        <w:spacing w:line="48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施工要求的质量标准：</w:t>
      </w:r>
      <w:r>
        <w:rPr>
          <w:rFonts w:hint="eastAsia" w:ascii="宋体" w:hAnsi="宋体"/>
          <w:color w:val="auto"/>
          <w:szCs w:val="21"/>
          <w:highlight w:val="none"/>
          <w:u w:val="single"/>
        </w:rPr>
        <w:t>符合强制性质量标准，符合国家和重庆市现行有关施工质量验收规范要求，并达到合格标准</w:t>
      </w:r>
      <w:r>
        <w:rPr>
          <w:rFonts w:ascii="宋体" w:hAnsi="宋体"/>
          <w:color w:val="auto"/>
          <w:szCs w:val="21"/>
          <w:highlight w:val="none"/>
          <w:u w:val="single"/>
        </w:rPr>
        <w:t>。</w:t>
      </w:r>
    </w:p>
    <w:p w14:paraId="12BCE86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6.4.2 </w:t>
      </w:r>
      <w:r>
        <w:rPr>
          <w:rFonts w:hint="eastAsia" w:ascii="宋体" w:hAnsi="宋体" w:cs="宋体"/>
          <w:color w:val="auto"/>
          <w:kern w:val="0"/>
          <w:szCs w:val="21"/>
          <w:highlight w:val="none"/>
        </w:rPr>
        <w:t>质量检查</w:t>
      </w:r>
    </w:p>
    <w:p w14:paraId="47D8A67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除通用合同条件已列明的质量检查的地点外，发包人有权进行质量检查的其他地点：</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AE7F9E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6.4.3 </w:t>
      </w:r>
      <w:r>
        <w:rPr>
          <w:rFonts w:hint="eastAsia" w:ascii="宋体" w:hAnsi="宋体" w:cs="宋体"/>
          <w:color w:val="auto"/>
          <w:kern w:val="0"/>
          <w:szCs w:val="21"/>
          <w:highlight w:val="none"/>
        </w:rPr>
        <w:t>隐蔽工程检查</w:t>
      </w:r>
    </w:p>
    <w:p w14:paraId="610FA4E8">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工程隐蔽部位经承包人自检确认具备覆盖条件的，承包人应在共同检查前24小时书面通知监理人检查，通知中应载明隐蔽检查的内容、时间和地点，并应附有自检记录和必要的检查资料。</w:t>
      </w:r>
    </w:p>
    <w:p w14:paraId="3B7E01A5">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关于隐蔽工程和中间验收的特别约定： 承包人未通知或未在规定时间通知监理人、发包人参加验收 的，其责任由承包人承担。对隐蔽工程，承包人未通知监理人、发包人共同验收的，如涉及碎石、砂、块（片）石、砂砾石等外购材料的，结算时，不予计取相关费用；涉及开挖等工程量的，结算时按不利于承包人的计算、计量原则办理结算。  </w:t>
      </w:r>
    </w:p>
    <w:p w14:paraId="629AC2A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6.5 </w:t>
      </w:r>
      <w:r>
        <w:rPr>
          <w:rFonts w:hint="eastAsia" w:ascii="宋体" w:hAnsi="宋体" w:cs="宋体"/>
          <w:color w:val="auto"/>
          <w:kern w:val="0"/>
          <w:szCs w:val="21"/>
          <w:highlight w:val="none"/>
        </w:rPr>
        <w:t>由承包人试验和检验</w:t>
      </w:r>
    </w:p>
    <w:p w14:paraId="3F2BCF17">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6.5.1 </w:t>
      </w:r>
      <w:r>
        <w:rPr>
          <w:rFonts w:hint="eastAsia" w:ascii="宋体" w:hAnsi="宋体" w:cs="宋体"/>
          <w:color w:val="auto"/>
          <w:kern w:val="0"/>
          <w:szCs w:val="21"/>
          <w:highlight w:val="none"/>
        </w:rPr>
        <w:t>试验设备与试验人员</w:t>
      </w:r>
    </w:p>
    <w:p w14:paraId="6291419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试验的内容、时间和地点：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u w:val="single"/>
        </w:rPr>
        <w:t xml:space="preserve">根据国家及地方规范要求、工程设计、施工的需要   </w:t>
      </w:r>
      <w:r>
        <w:rPr>
          <w:rFonts w:hint="eastAsia" w:ascii="宋体" w:hAnsi="宋体" w:cs="宋体"/>
          <w:color w:val="auto"/>
          <w:kern w:val="0"/>
          <w:szCs w:val="21"/>
          <w:highlight w:val="none"/>
        </w:rPr>
        <w:t>。</w:t>
      </w:r>
    </w:p>
    <w:p w14:paraId="1D90F753">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试验所需要的试验设备、取样装置、试验场所和试验条件：</w:t>
      </w:r>
      <w:r>
        <w:rPr>
          <w:rFonts w:hint="eastAsia" w:ascii="宋体" w:hAnsi="宋体" w:cs="宋体"/>
          <w:color w:val="auto"/>
          <w:kern w:val="0"/>
          <w:szCs w:val="21"/>
          <w:highlight w:val="none"/>
          <w:u w:val="single"/>
        </w:rPr>
        <w:t>满足工程设计、施工的需要</w:t>
      </w:r>
      <w:r>
        <w:rPr>
          <w:rFonts w:hint="eastAsia" w:ascii="宋体" w:hAnsi="宋体" w:cs="宋体"/>
          <w:color w:val="auto"/>
          <w:kern w:val="0"/>
          <w:szCs w:val="21"/>
          <w:highlight w:val="none"/>
        </w:rPr>
        <w:t>。</w:t>
      </w:r>
    </w:p>
    <w:p w14:paraId="20BDAA9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本款补充</w:t>
      </w:r>
      <w:r>
        <w:rPr>
          <w:rFonts w:ascii="宋体" w:hAnsi="宋体" w:cs="宋体"/>
          <w:color w:val="auto"/>
          <w:kern w:val="0"/>
          <w:szCs w:val="21"/>
          <w:highlight w:val="none"/>
        </w:rPr>
        <w:t>6.5.5</w:t>
      </w:r>
      <w:r>
        <w:rPr>
          <w:rFonts w:hint="eastAsia" w:ascii="宋体" w:hAnsi="宋体" w:cs="宋体"/>
          <w:color w:val="auto"/>
          <w:kern w:val="0"/>
          <w:szCs w:val="21"/>
          <w:highlight w:val="none"/>
        </w:rPr>
        <w:t>～</w:t>
      </w:r>
      <w:r>
        <w:rPr>
          <w:rFonts w:ascii="宋体" w:hAnsi="宋体" w:cs="宋体"/>
          <w:color w:val="auto"/>
          <w:kern w:val="0"/>
          <w:szCs w:val="21"/>
          <w:highlight w:val="none"/>
        </w:rPr>
        <w:t>6.5.9</w:t>
      </w:r>
      <w:r>
        <w:rPr>
          <w:rFonts w:hint="eastAsia" w:ascii="宋体" w:hAnsi="宋体" w:cs="宋体"/>
          <w:color w:val="auto"/>
          <w:kern w:val="0"/>
          <w:szCs w:val="21"/>
          <w:highlight w:val="none"/>
        </w:rPr>
        <w:t>项：</w:t>
      </w:r>
    </w:p>
    <w:p w14:paraId="67C64CE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6.5.5</w:t>
      </w:r>
      <w:r>
        <w:rPr>
          <w:rFonts w:hint="eastAsia" w:ascii="宋体" w:hAnsi="宋体" w:cs="宋体"/>
          <w:color w:val="auto"/>
          <w:kern w:val="0"/>
          <w:szCs w:val="21"/>
          <w:highlight w:val="none"/>
        </w:rPr>
        <w:t>一般检验试验</w:t>
      </w:r>
    </w:p>
    <w:p w14:paraId="48BA5D7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根据《建设工程质量检测管理办法》（建设部令第</w:t>
      </w:r>
      <w:r>
        <w:rPr>
          <w:rFonts w:ascii="宋体" w:hAnsi="宋体" w:cs="宋体"/>
          <w:color w:val="auto"/>
          <w:kern w:val="0"/>
          <w:szCs w:val="21"/>
          <w:highlight w:val="none"/>
        </w:rPr>
        <w:t>141</w:t>
      </w:r>
      <w:r>
        <w:rPr>
          <w:rFonts w:hint="eastAsia" w:ascii="宋体" w:hAnsi="宋体" w:cs="宋体"/>
          <w:color w:val="auto"/>
          <w:kern w:val="0"/>
          <w:szCs w:val="21"/>
          <w:highlight w:val="none"/>
        </w:rPr>
        <w:t>号）、关于实施《建设工程质量检测管理办法》有关问题的通知（建质〔</w:t>
      </w:r>
      <w:r>
        <w:rPr>
          <w:rFonts w:ascii="宋体" w:hAnsi="宋体" w:cs="宋体"/>
          <w:color w:val="auto"/>
          <w:kern w:val="0"/>
          <w:szCs w:val="21"/>
          <w:highlight w:val="none"/>
        </w:rPr>
        <w:t>2009</w:t>
      </w:r>
      <w:r>
        <w:rPr>
          <w:rFonts w:hint="eastAsia" w:ascii="宋体" w:hAnsi="宋体" w:cs="宋体"/>
          <w:color w:val="auto"/>
          <w:kern w:val="0"/>
          <w:szCs w:val="21"/>
          <w:highlight w:val="none"/>
        </w:rPr>
        <w:t>〕</w:t>
      </w:r>
      <w:r>
        <w:rPr>
          <w:rFonts w:ascii="宋体" w:hAnsi="宋体" w:cs="宋体"/>
          <w:color w:val="auto"/>
          <w:kern w:val="0"/>
          <w:szCs w:val="21"/>
          <w:highlight w:val="none"/>
        </w:rPr>
        <w:t>25</w:t>
      </w:r>
      <w:r>
        <w:rPr>
          <w:rFonts w:hint="eastAsia" w:ascii="宋体" w:hAnsi="宋体" w:cs="宋体"/>
          <w:color w:val="auto"/>
          <w:kern w:val="0"/>
          <w:szCs w:val="21"/>
          <w:highlight w:val="none"/>
        </w:rPr>
        <w:t>号）、《重庆市建设工程质量检测管理规定》（渝建发〔</w:t>
      </w:r>
      <w:r>
        <w:rPr>
          <w:rFonts w:ascii="宋体" w:hAnsi="宋体" w:cs="宋体"/>
          <w:color w:val="auto"/>
          <w:kern w:val="0"/>
          <w:szCs w:val="21"/>
          <w:highlight w:val="none"/>
        </w:rPr>
        <w:t>2009</w:t>
      </w:r>
      <w:r>
        <w:rPr>
          <w:rFonts w:hint="eastAsia" w:ascii="宋体" w:hAnsi="宋体" w:cs="宋体"/>
          <w:color w:val="auto"/>
          <w:kern w:val="0"/>
          <w:szCs w:val="21"/>
          <w:highlight w:val="none"/>
        </w:rPr>
        <w:t>〕</w:t>
      </w:r>
      <w:r>
        <w:rPr>
          <w:rFonts w:ascii="宋体" w:hAnsi="宋体" w:cs="宋体"/>
          <w:color w:val="auto"/>
          <w:kern w:val="0"/>
          <w:szCs w:val="21"/>
          <w:highlight w:val="none"/>
        </w:rPr>
        <w:t>123</w:t>
      </w:r>
      <w:r>
        <w:rPr>
          <w:rFonts w:hint="eastAsia" w:ascii="宋体" w:hAnsi="宋体" w:cs="宋体"/>
          <w:color w:val="auto"/>
          <w:kern w:val="0"/>
          <w:szCs w:val="21"/>
          <w:highlight w:val="none"/>
        </w:rPr>
        <w:t>号）、《关于加强我市建设工程质量检测委托管理的通知》（渝建〔</w:t>
      </w:r>
      <w:r>
        <w:rPr>
          <w:rFonts w:ascii="宋体" w:hAnsi="宋体" w:cs="宋体"/>
          <w:color w:val="auto"/>
          <w:kern w:val="0"/>
          <w:szCs w:val="21"/>
          <w:highlight w:val="none"/>
        </w:rPr>
        <w:t>2015</w:t>
      </w:r>
      <w:r>
        <w:rPr>
          <w:rFonts w:hint="eastAsia" w:ascii="宋体" w:hAnsi="宋体" w:cs="宋体"/>
          <w:color w:val="auto"/>
          <w:kern w:val="0"/>
          <w:szCs w:val="21"/>
          <w:highlight w:val="none"/>
        </w:rPr>
        <w:t>〕</w:t>
      </w:r>
      <w:r>
        <w:rPr>
          <w:rFonts w:ascii="宋体" w:hAnsi="宋体" w:cs="宋体"/>
          <w:color w:val="auto"/>
          <w:kern w:val="0"/>
          <w:szCs w:val="21"/>
          <w:highlight w:val="none"/>
        </w:rPr>
        <w:t>420</w:t>
      </w:r>
      <w:r>
        <w:rPr>
          <w:rFonts w:hint="eastAsia" w:ascii="宋体" w:hAnsi="宋体" w:cs="宋体"/>
          <w:color w:val="auto"/>
          <w:kern w:val="0"/>
          <w:szCs w:val="21"/>
          <w:highlight w:val="none"/>
        </w:rPr>
        <w:t>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0EC9022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实施前，由发包人、承包人和第三方检测试验机构订立三方合同，第三方检测试验机构分别向承包人和发包人出具相应的检测试验报告。根据渝建〔</w:t>
      </w:r>
      <w:r>
        <w:rPr>
          <w:rFonts w:ascii="宋体" w:hAnsi="宋体" w:cs="宋体"/>
          <w:color w:val="auto"/>
          <w:kern w:val="0"/>
          <w:szCs w:val="21"/>
          <w:highlight w:val="none"/>
        </w:rPr>
        <w:t>2015</w:t>
      </w:r>
      <w:r>
        <w:rPr>
          <w:rFonts w:hint="eastAsia" w:ascii="宋体" w:hAnsi="宋体" w:cs="宋体"/>
          <w:color w:val="auto"/>
          <w:kern w:val="0"/>
          <w:szCs w:val="21"/>
          <w:highlight w:val="none"/>
        </w:rPr>
        <w:t>〕</w:t>
      </w:r>
      <w:r>
        <w:rPr>
          <w:rFonts w:ascii="宋体" w:hAnsi="宋体" w:cs="宋体"/>
          <w:color w:val="auto"/>
          <w:kern w:val="0"/>
          <w:szCs w:val="21"/>
          <w:highlight w:val="none"/>
        </w:rPr>
        <w:t>420</w:t>
      </w:r>
      <w:r>
        <w:rPr>
          <w:rFonts w:hint="eastAsia" w:ascii="宋体" w:hAnsi="宋体" w:cs="宋体"/>
          <w:color w:val="auto"/>
          <w:kern w:val="0"/>
          <w:szCs w:val="21"/>
          <w:highlight w:val="none"/>
        </w:rPr>
        <w:t>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251D591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6.5.6</w:t>
      </w:r>
      <w:r>
        <w:rPr>
          <w:rFonts w:hint="eastAsia" w:ascii="宋体" w:hAnsi="宋体" w:cs="宋体"/>
          <w:color w:val="auto"/>
          <w:kern w:val="0"/>
          <w:szCs w:val="21"/>
          <w:highlight w:val="none"/>
        </w:rPr>
        <w:t>特殊检验试验</w:t>
      </w:r>
    </w:p>
    <w:p w14:paraId="647A84A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除“施工措施的检测、试验”外，包括但不限于路基弯沉值试验、路面承载力试验、桥梁荷载试验、锚固试验、桩基检测、锚杆抗拔检验、锚索预应力检测、外墙面砖抗粘接试验、室内有害物质检测、门窗（幕墙）三性检测、石材放射性检测、石膏板阻燃检测、挡土墙抗渗试验、保温层隔热检测等（根据项目实际情况增减）设计施工规范及其他法律法规规范规定的特殊检验试验项目，根据渝建〔</w:t>
      </w:r>
      <w:r>
        <w:rPr>
          <w:rFonts w:ascii="宋体" w:hAnsi="宋体" w:cs="宋体"/>
          <w:color w:val="auto"/>
          <w:kern w:val="0"/>
          <w:szCs w:val="21"/>
          <w:highlight w:val="none"/>
        </w:rPr>
        <w:t>2015</w:t>
      </w:r>
      <w:r>
        <w:rPr>
          <w:rFonts w:hint="eastAsia" w:ascii="宋体" w:hAnsi="宋体" w:cs="宋体"/>
          <w:color w:val="auto"/>
          <w:kern w:val="0"/>
          <w:szCs w:val="21"/>
          <w:highlight w:val="none"/>
        </w:rPr>
        <w:t>〕</w:t>
      </w:r>
      <w:r>
        <w:rPr>
          <w:rFonts w:ascii="宋体" w:hAnsi="宋体" w:cs="宋体"/>
          <w:color w:val="auto"/>
          <w:kern w:val="0"/>
          <w:szCs w:val="21"/>
          <w:highlight w:val="none"/>
        </w:rPr>
        <w:t>420</w:t>
      </w:r>
      <w:r>
        <w:rPr>
          <w:rFonts w:hint="eastAsia" w:ascii="宋体" w:hAnsi="宋体" w:cs="宋体"/>
          <w:color w:val="auto"/>
          <w:kern w:val="0"/>
          <w:szCs w:val="21"/>
          <w:highlight w:val="none"/>
        </w:rPr>
        <w:t>号文的规定，均由发包人委托相应的第三方检测试验机构进行检测，所发生的特殊检验试验费由发包人承担，不包含在合同价格中。</w:t>
      </w:r>
    </w:p>
    <w:p w14:paraId="3BB6B49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发包人委托的第三方检测试验机构检测试验的试件所需的材料、取样、送检及相关配合工作由承包人负责完成并承担由此产生的所有相关费用。</w:t>
      </w:r>
    </w:p>
    <w:p w14:paraId="604AC48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）施工措施的检测、试验：因施工措施需要而做的相关检测、试验由承包人负责实施，其费用由承包人承担。</w:t>
      </w:r>
    </w:p>
    <w:p w14:paraId="780E5BF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6.5.7</w:t>
      </w:r>
      <w:r>
        <w:rPr>
          <w:rFonts w:hint="eastAsia" w:ascii="宋体" w:hAnsi="宋体" w:cs="宋体"/>
          <w:color w:val="auto"/>
          <w:kern w:val="0"/>
          <w:szCs w:val="21"/>
          <w:highlight w:val="none"/>
        </w:rPr>
        <w:t>专项检测：</w:t>
      </w:r>
      <w:r>
        <w:rPr>
          <w:rFonts w:hint="eastAsia" w:ascii="宋体" w:hAnsi="宋体" w:cs="宋体"/>
          <w:color w:val="auto"/>
          <w:kern w:val="0"/>
          <w:szCs w:val="21"/>
          <w:highlight w:val="none"/>
          <w:u w:val="single"/>
          <w:lang w:bidi="ar"/>
        </w:rPr>
        <w:t xml:space="preserve"> 按相关文件执行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86B82F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6.5.8</w:t>
      </w:r>
      <w:r>
        <w:rPr>
          <w:rFonts w:hint="eastAsia" w:ascii="宋体" w:hAnsi="宋体" w:cs="宋体"/>
          <w:color w:val="auto"/>
          <w:kern w:val="0"/>
          <w:szCs w:val="21"/>
          <w:highlight w:val="none"/>
        </w:rPr>
        <w:t>若因承包人取样、制样、送检及相关配合不及时而导致工程的工期和费用增加，影响的工期不予延长，增加费用由承包人承担。</w:t>
      </w:r>
    </w:p>
    <w:p w14:paraId="52CDCBC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6.5.9</w:t>
      </w:r>
      <w:r>
        <w:rPr>
          <w:rFonts w:hint="eastAsia" w:ascii="宋体" w:hAnsi="宋体" w:cs="宋体"/>
          <w:color w:val="auto"/>
          <w:kern w:val="0"/>
          <w:szCs w:val="21"/>
          <w:highlight w:val="none"/>
        </w:rPr>
        <w:t>检测试验不合格的项目，其缺陷处理和复测费用由承包人承担，工期不予延长。</w:t>
      </w:r>
    </w:p>
    <w:p w14:paraId="399C9698">
      <w:pPr>
        <w:widowControl/>
        <w:adjustRightInd w:val="0"/>
        <w:snapToGrid w:val="0"/>
        <w:spacing w:after="163" w:afterLines="50" w:line="480" w:lineRule="exact"/>
        <w:outlineLvl w:val="1"/>
        <w:rPr>
          <w:rFonts w:ascii="宋体" w:hAnsi="宋体" w:cs="Times"/>
          <w:b/>
          <w:color w:val="auto"/>
          <w:kern w:val="0"/>
          <w:highlight w:val="none"/>
        </w:rPr>
      </w:pPr>
      <w:bookmarkStart w:id="2648" w:name="_Toc20171880"/>
      <w:bookmarkEnd w:id="2648"/>
      <w:bookmarkStart w:id="2649" w:name="_Toc170932598"/>
      <w:bookmarkStart w:id="2650" w:name="_Toc84930867"/>
      <w:bookmarkStart w:id="2651" w:name="_Toc12411"/>
      <w:r>
        <w:rPr>
          <w:rFonts w:hint="eastAsia" w:ascii="宋体" w:hAnsi="宋体" w:cs="Times"/>
          <w:b/>
          <w:color w:val="auto"/>
          <w:kern w:val="0"/>
          <w:szCs w:val="21"/>
          <w:highlight w:val="none"/>
        </w:rPr>
        <w:t>第</w:t>
      </w:r>
      <w:r>
        <w:rPr>
          <w:rFonts w:ascii="宋体" w:hAnsi="宋体" w:cs="Times"/>
          <w:b/>
          <w:color w:val="auto"/>
          <w:kern w:val="0"/>
          <w:szCs w:val="21"/>
          <w:highlight w:val="none"/>
        </w:rPr>
        <w:t>7</w:t>
      </w:r>
      <w:r>
        <w:rPr>
          <w:rFonts w:hint="eastAsia" w:ascii="宋体" w:hAnsi="宋体" w:cs="Times"/>
          <w:b/>
          <w:color w:val="auto"/>
          <w:kern w:val="0"/>
          <w:szCs w:val="21"/>
          <w:highlight w:val="none"/>
        </w:rPr>
        <w:t>条施工</w:t>
      </w:r>
      <w:bookmarkEnd w:id="2649"/>
      <w:bookmarkEnd w:id="2650"/>
      <w:bookmarkEnd w:id="2651"/>
    </w:p>
    <w:p w14:paraId="2DB2FA5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7.1 </w:t>
      </w:r>
      <w:r>
        <w:rPr>
          <w:rFonts w:hint="eastAsia" w:ascii="宋体" w:hAnsi="宋体" w:cs="宋体"/>
          <w:color w:val="auto"/>
          <w:kern w:val="0"/>
          <w:szCs w:val="21"/>
          <w:highlight w:val="none"/>
        </w:rPr>
        <w:t>交通运输</w:t>
      </w:r>
    </w:p>
    <w:p w14:paraId="23C4337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7.1.1 </w:t>
      </w:r>
      <w:r>
        <w:rPr>
          <w:rFonts w:hint="eastAsia" w:ascii="宋体" w:hAnsi="宋体" w:cs="宋体"/>
          <w:color w:val="auto"/>
          <w:kern w:val="0"/>
          <w:szCs w:val="21"/>
          <w:highlight w:val="none"/>
        </w:rPr>
        <w:t>出入现场的权利</w:t>
      </w:r>
    </w:p>
    <w:p w14:paraId="16A18710">
      <w:pPr>
        <w:widowControl/>
        <w:spacing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关于出入现场的权利的约定：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bidi="ar"/>
        </w:rPr>
        <w:t>承包人应为发包人及其他单位进入施工现场提供便利，承包人已建的 场内临时道路应免费提供给发包人及其他单位使用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5A5C63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7.1.2 </w:t>
      </w:r>
      <w:r>
        <w:rPr>
          <w:rFonts w:hint="eastAsia" w:ascii="宋体" w:hAnsi="宋体" w:cs="宋体"/>
          <w:color w:val="auto"/>
          <w:kern w:val="0"/>
          <w:szCs w:val="21"/>
          <w:highlight w:val="none"/>
        </w:rPr>
        <w:t>场外交通</w:t>
      </w:r>
    </w:p>
    <w:p w14:paraId="08233C9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关于场外交通的特别约定：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bidi="ar"/>
        </w:rPr>
        <w:t>承包人自行承担</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022E1C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7.1.3 </w:t>
      </w:r>
      <w:r>
        <w:rPr>
          <w:rFonts w:hint="eastAsia" w:ascii="宋体" w:hAnsi="宋体" w:cs="宋体"/>
          <w:color w:val="auto"/>
          <w:kern w:val="0"/>
          <w:szCs w:val="21"/>
          <w:highlight w:val="none"/>
        </w:rPr>
        <w:t>场内交通</w:t>
      </w:r>
    </w:p>
    <w:p w14:paraId="3F53F51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关于场内交通的特别约定：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lang w:bidi="ar"/>
        </w:rPr>
        <w:t>承包人自行承担</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ADAEE2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关于场内交通与场外交通边界的约定：</w:t>
      </w:r>
      <w:r>
        <w:rPr>
          <w:rFonts w:hint="eastAsia" w:ascii="宋体" w:hAnsi="宋体" w:cs="宋体"/>
          <w:color w:val="auto"/>
          <w:kern w:val="0"/>
          <w:szCs w:val="21"/>
          <w:highlight w:val="none"/>
          <w:u w:val="single"/>
        </w:rPr>
        <w:t>以合同工程用地红线为界，用地红线范围内为场内交通（场外道路穿越场内的除外），用地红线外为场外交通</w:t>
      </w:r>
      <w:r>
        <w:rPr>
          <w:rFonts w:hint="eastAsia" w:ascii="宋体" w:hAnsi="宋体" w:cs="宋体"/>
          <w:color w:val="auto"/>
          <w:kern w:val="0"/>
          <w:szCs w:val="21"/>
          <w:highlight w:val="none"/>
        </w:rPr>
        <w:t>。</w:t>
      </w:r>
    </w:p>
    <w:p w14:paraId="1C3ED10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关于发包人向承包人免费提供满足工程施工需要的场内道路和交通设施的约定：以施工场地移交时的现状为准。</w:t>
      </w:r>
    </w:p>
    <w:p w14:paraId="184DCA7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7.1.4 </w:t>
      </w:r>
      <w:r>
        <w:rPr>
          <w:rFonts w:hint="eastAsia" w:ascii="宋体" w:hAnsi="宋体" w:cs="宋体"/>
          <w:color w:val="auto"/>
          <w:kern w:val="0"/>
          <w:szCs w:val="21"/>
          <w:highlight w:val="none"/>
        </w:rPr>
        <w:t>超大件和超重件的运输</w:t>
      </w:r>
    </w:p>
    <w:p w14:paraId="4A58D74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运输超大件或超重件所需的道路和桥梁临时加固改造费用和其他有关费用由承担。</w:t>
      </w:r>
    </w:p>
    <w:p w14:paraId="64DC7E0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7.2 </w:t>
      </w:r>
      <w:r>
        <w:rPr>
          <w:rFonts w:hint="eastAsia" w:ascii="宋体" w:hAnsi="宋体" w:cs="宋体"/>
          <w:color w:val="auto"/>
          <w:kern w:val="0"/>
          <w:szCs w:val="21"/>
          <w:highlight w:val="none"/>
        </w:rPr>
        <w:t>施工设备和临时设施</w:t>
      </w:r>
    </w:p>
    <w:p w14:paraId="0A9A87D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7.2.1 </w:t>
      </w:r>
      <w:r>
        <w:rPr>
          <w:rFonts w:hint="eastAsia" w:ascii="宋体" w:hAnsi="宋体" w:cs="宋体"/>
          <w:color w:val="auto"/>
          <w:kern w:val="0"/>
          <w:szCs w:val="21"/>
          <w:highlight w:val="none"/>
        </w:rPr>
        <w:t>承包人提供的施工设备和临时设施</w:t>
      </w:r>
    </w:p>
    <w:p w14:paraId="1646874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临时设施的费用和临时占地手续和费用承担的特别约定：</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14:paraId="147B3AE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7.2.2 </w:t>
      </w:r>
      <w:r>
        <w:rPr>
          <w:rFonts w:hint="eastAsia" w:ascii="宋体" w:hAnsi="宋体" w:cs="宋体"/>
          <w:color w:val="auto"/>
          <w:kern w:val="0"/>
          <w:szCs w:val="21"/>
          <w:highlight w:val="none"/>
        </w:rPr>
        <w:t>发包人提供的施工设备和临时设施</w:t>
      </w:r>
    </w:p>
    <w:p w14:paraId="6B3E681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发包人提供的施工设备或临时设施范围：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4963E9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7.3</w:t>
      </w:r>
      <w:r>
        <w:rPr>
          <w:rFonts w:hint="eastAsia" w:ascii="宋体" w:hAnsi="宋体" w:cs="宋体"/>
          <w:color w:val="auto"/>
          <w:kern w:val="0"/>
          <w:szCs w:val="21"/>
          <w:highlight w:val="none"/>
        </w:rPr>
        <w:t>现场合作</w:t>
      </w:r>
    </w:p>
    <w:p w14:paraId="68F3A67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关于现场合作费用的特别约定：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bidi="ar"/>
        </w:rPr>
        <w:t>承包人承担</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4951D6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7.4 </w:t>
      </w:r>
      <w:r>
        <w:rPr>
          <w:rFonts w:hint="eastAsia" w:ascii="宋体" w:hAnsi="宋体" w:cs="宋体"/>
          <w:color w:val="auto"/>
          <w:kern w:val="0"/>
          <w:szCs w:val="21"/>
          <w:highlight w:val="none"/>
        </w:rPr>
        <w:t>测量放线</w:t>
      </w:r>
    </w:p>
    <w:p w14:paraId="09E56EC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7.4.1 </w:t>
      </w:r>
      <w:r>
        <w:rPr>
          <w:rFonts w:hint="eastAsia" w:ascii="宋体" w:hAnsi="宋体" w:cs="宋体"/>
          <w:color w:val="auto"/>
          <w:kern w:val="0"/>
          <w:szCs w:val="21"/>
          <w:highlight w:val="none"/>
        </w:rPr>
        <w:t>关于测量放线的特别约定的技术规范：。施工控制网资料的告知期限：</w:t>
      </w:r>
      <w:r>
        <w:rPr>
          <w:rFonts w:hint="eastAsia" w:ascii="宋体" w:hAnsi="宋体" w:cs="宋体"/>
          <w:color w:val="auto"/>
          <w:kern w:val="0"/>
          <w:szCs w:val="21"/>
          <w:highlight w:val="none"/>
          <w:u w:val="single"/>
        </w:rPr>
        <w:t>工程开工前</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天内</w:t>
      </w:r>
      <w:r>
        <w:rPr>
          <w:rFonts w:hint="eastAsia" w:ascii="宋体" w:hAnsi="宋体" w:cs="宋体"/>
          <w:color w:val="auto"/>
          <w:kern w:val="0"/>
          <w:szCs w:val="21"/>
          <w:highlight w:val="none"/>
        </w:rPr>
        <w:t>。</w:t>
      </w:r>
    </w:p>
    <w:p w14:paraId="3C8CF77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7.5 </w:t>
      </w:r>
      <w:r>
        <w:rPr>
          <w:rFonts w:hint="eastAsia" w:ascii="宋体" w:hAnsi="宋体" w:cs="宋体"/>
          <w:color w:val="auto"/>
          <w:kern w:val="0"/>
          <w:szCs w:val="21"/>
          <w:highlight w:val="none"/>
        </w:rPr>
        <w:t>现场劳动用工</w:t>
      </w:r>
    </w:p>
    <w:p w14:paraId="2B4147E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7.5.2 </w:t>
      </w:r>
      <w:r>
        <w:rPr>
          <w:rFonts w:hint="eastAsia" w:ascii="宋体" w:hAnsi="宋体" w:cs="宋体"/>
          <w:color w:val="auto"/>
          <w:kern w:val="0"/>
          <w:szCs w:val="21"/>
          <w:highlight w:val="none"/>
        </w:rPr>
        <w:t>合同当事人对建筑工人工资清偿事宜和违约责任的约定：</w:t>
      </w:r>
      <w:r>
        <w:rPr>
          <w:rFonts w:hint="eastAsia" w:ascii="宋体" w:hAnsi="宋体" w:cs="宋体"/>
          <w:color w:val="auto"/>
          <w:kern w:val="0"/>
          <w:szCs w:val="21"/>
          <w:highlight w:val="none"/>
          <w:u w:val="single"/>
        </w:rPr>
        <w:t>详见合同附件</w:t>
      </w:r>
      <w:r>
        <w:rPr>
          <w:rFonts w:ascii="宋体" w:hAnsi="宋体" w:cs="宋体"/>
          <w:color w:val="auto"/>
          <w:kern w:val="0"/>
          <w:szCs w:val="21"/>
          <w:highlight w:val="none"/>
          <w:u w:val="single"/>
        </w:rPr>
        <w:t>10</w:t>
      </w:r>
      <w:r>
        <w:rPr>
          <w:rFonts w:hint="eastAsia" w:ascii="宋体" w:hAnsi="宋体" w:cs="宋体"/>
          <w:color w:val="auto"/>
          <w:kern w:val="0"/>
          <w:szCs w:val="21"/>
          <w:highlight w:val="none"/>
          <w:u w:val="single"/>
        </w:rPr>
        <w:t>《保障建筑工人工资支付协议》</w:t>
      </w:r>
      <w:r>
        <w:rPr>
          <w:rFonts w:hint="eastAsia" w:ascii="宋体" w:hAnsi="宋体" w:cs="宋体"/>
          <w:color w:val="auto"/>
          <w:kern w:val="0"/>
          <w:szCs w:val="21"/>
          <w:highlight w:val="none"/>
        </w:rPr>
        <w:t>。</w:t>
      </w:r>
    </w:p>
    <w:p w14:paraId="044E5A6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7.6 </w:t>
      </w:r>
      <w:r>
        <w:rPr>
          <w:rFonts w:hint="eastAsia" w:ascii="宋体" w:hAnsi="宋体" w:cs="宋体"/>
          <w:color w:val="auto"/>
          <w:kern w:val="0"/>
          <w:szCs w:val="21"/>
          <w:highlight w:val="none"/>
        </w:rPr>
        <w:t>安全文明施工</w:t>
      </w:r>
    </w:p>
    <w:p w14:paraId="5E4830B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7.6.1 </w:t>
      </w:r>
      <w:r>
        <w:rPr>
          <w:rFonts w:hint="eastAsia" w:ascii="宋体" w:hAnsi="宋体" w:cs="宋体"/>
          <w:color w:val="auto"/>
          <w:kern w:val="0"/>
          <w:szCs w:val="21"/>
          <w:highlight w:val="none"/>
        </w:rPr>
        <w:t>安全生产要求</w:t>
      </w:r>
    </w:p>
    <w:p w14:paraId="02DBD5FA">
      <w:pPr>
        <w:widowControl/>
        <w:adjustRightInd w:val="0"/>
        <w:snapToGrid w:val="0"/>
        <w:spacing w:after="163" w:afterLines="50" w:line="480" w:lineRule="exact"/>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rPr>
        <w:t>合同当事人对安全施工的要求：</w:t>
      </w:r>
      <w:r>
        <w:rPr>
          <w:rFonts w:hint="eastAsia" w:ascii="宋体" w:hAnsi="宋体" w:cs="宋体"/>
          <w:color w:val="auto"/>
          <w:kern w:val="0"/>
          <w:szCs w:val="21"/>
          <w:highlight w:val="none"/>
          <w:u w:val="single"/>
        </w:rPr>
        <w:t>达到《建筑施工安全检查标准》（</w:t>
      </w:r>
      <w:r>
        <w:rPr>
          <w:rFonts w:ascii="宋体" w:hAnsi="宋体" w:cs="宋体"/>
          <w:color w:val="auto"/>
          <w:kern w:val="0"/>
          <w:szCs w:val="21"/>
          <w:highlight w:val="none"/>
          <w:u w:val="single"/>
        </w:rPr>
        <w:t>JGJ59-2011</w:t>
      </w:r>
      <w:r>
        <w:rPr>
          <w:rFonts w:hint="eastAsia" w:ascii="宋体" w:hAnsi="宋体" w:cs="宋体"/>
          <w:color w:val="auto"/>
          <w:kern w:val="0"/>
          <w:szCs w:val="21"/>
          <w:highlight w:val="none"/>
          <w:u w:val="single"/>
        </w:rPr>
        <w:t>）的要求。</w:t>
      </w:r>
    </w:p>
    <w:p w14:paraId="69931A6D">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w:t>
      </w:r>
      <w:r>
        <w:rPr>
          <w:rFonts w:hint="eastAsia" w:ascii="宋体" w:hAnsi="宋体" w:cs="宋体"/>
          <w:color w:val="auto"/>
          <w:kern w:val="0"/>
          <w:szCs w:val="21"/>
          <w:highlight w:val="none"/>
          <w:u w:val="single"/>
        </w:rPr>
        <w:t>）按现行安全文明施工费计取及使用管理的政策文件规定及发包人制订的安全管理制度执行。</w:t>
      </w:r>
    </w:p>
    <w:p w14:paraId="0B2385B3">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2</w:t>
      </w:r>
      <w:r>
        <w:rPr>
          <w:rFonts w:hint="eastAsia" w:ascii="宋体" w:hAnsi="宋体" w:cs="宋体"/>
          <w:color w:val="auto"/>
          <w:kern w:val="0"/>
          <w:szCs w:val="21"/>
          <w:highlight w:val="none"/>
          <w:u w:val="single"/>
        </w:rPr>
        <w:t>）承包人的原因造成事故，由此产生的法律责任和事故责任及费用由承包人全部承担。</w:t>
      </w:r>
    </w:p>
    <w:p w14:paraId="7F58350D">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）承包人向发包人做出安全承诺，并签订《安全生产目标责任书》和《安全承诺书》。</w:t>
      </w:r>
    </w:p>
    <w:p w14:paraId="23AD1A3B">
      <w:pPr>
        <w:widowControl/>
        <w:adjustRightInd w:val="0"/>
        <w:snapToGrid w:val="0"/>
        <w:spacing w:after="163" w:afterLines="50"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（4）承包人在施工过程中，必须严格执行安全生产法的相关规定和强制性安全标准，制定切实可靠的安全技术措施。</w:t>
      </w:r>
    </w:p>
    <w:p w14:paraId="16217E5F">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5</w:t>
      </w:r>
      <w:r>
        <w:rPr>
          <w:rFonts w:hint="eastAsia" w:ascii="宋体" w:hAnsi="宋体" w:cs="宋体"/>
          <w:color w:val="auto"/>
          <w:kern w:val="0"/>
          <w:szCs w:val="21"/>
          <w:highlight w:val="none"/>
          <w:u w:val="single"/>
        </w:rPr>
        <w:t>）接受发包人安全监督和管理，在施工中违反安全管理规定和操作规程、违章作业的，承担违约责任。</w:t>
      </w:r>
    </w:p>
    <w:p w14:paraId="3F6595A7">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7.6.3 </w:t>
      </w:r>
      <w:r>
        <w:rPr>
          <w:rFonts w:hint="eastAsia" w:ascii="宋体" w:hAnsi="宋体" w:cs="宋体"/>
          <w:color w:val="auto"/>
          <w:kern w:val="0"/>
          <w:szCs w:val="21"/>
          <w:highlight w:val="none"/>
        </w:rPr>
        <w:t>文明施工</w:t>
      </w:r>
    </w:p>
    <w:p w14:paraId="13EEA5B9">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rPr>
        <w:t>合同当事人对文明施工的要求：</w:t>
      </w:r>
      <w:r>
        <w:rPr>
          <w:rFonts w:hint="eastAsia" w:ascii="宋体" w:hAnsi="宋体" w:cs="宋体"/>
          <w:color w:val="auto"/>
          <w:kern w:val="0"/>
          <w:szCs w:val="21"/>
          <w:highlight w:val="none"/>
          <w:u w:val="single"/>
        </w:rPr>
        <w:t>承包人应按照《房屋建筑和市政基础设施工程施工扬尘控制工作方案》（渝建发〔</w:t>
      </w:r>
      <w:r>
        <w:rPr>
          <w:rFonts w:ascii="宋体" w:hAnsi="宋体" w:cs="宋体"/>
          <w:color w:val="auto"/>
          <w:kern w:val="0"/>
          <w:szCs w:val="21"/>
          <w:highlight w:val="none"/>
          <w:u w:val="single"/>
        </w:rPr>
        <w:t>2009</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13</w:t>
      </w:r>
      <w:r>
        <w:rPr>
          <w:rFonts w:hint="eastAsia" w:ascii="宋体" w:hAnsi="宋体" w:cs="宋体"/>
          <w:color w:val="auto"/>
          <w:kern w:val="0"/>
          <w:szCs w:val="21"/>
          <w:highlight w:val="none"/>
          <w:u w:val="single"/>
        </w:rPr>
        <w:t>号）、《重庆市建设委员会关于印发</w:t>
      </w:r>
      <w:r>
        <w:rPr>
          <w:rFonts w:ascii="宋体" w:hAnsi="宋体" w:cs="宋体"/>
          <w:color w:val="auto"/>
          <w:kern w:val="0"/>
          <w:szCs w:val="21"/>
          <w:highlight w:val="none"/>
          <w:u w:val="single"/>
        </w:rPr>
        <w:t>&lt;</w:t>
      </w:r>
      <w:r>
        <w:rPr>
          <w:rFonts w:hint="eastAsia" w:ascii="宋体" w:hAnsi="宋体" w:cs="宋体"/>
          <w:color w:val="auto"/>
          <w:kern w:val="0"/>
          <w:szCs w:val="21"/>
          <w:highlight w:val="none"/>
          <w:u w:val="single"/>
        </w:rPr>
        <w:t>重庆市房屋建筑和市政基础设施工程现场文明施工标准</w:t>
      </w:r>
      <w:r>
        <w:rPr>
          <w:rFonts w:ascii="宋体" w:hAnsi="宋体" w:cs="宋体"/>
          <w:color w:val="auto"/>
          <w:kern w:val="0"/>
          <w:szCs w:val="21"/>
          <w:highlight w:val="none"/>
          <w:u w:val="single"/>
        </w:rPr>
        <w:t>&gt;</w:t>
      </w:r>
      <w:r>
        <w:rPr>
          <w:rFonts w:hint="eastAsia" w:ascii="宋体" w:hAnsi="宋体" w:cs="宋体"/>
          <w:color w:val="auto"/>
          <w:kern w:val="0"/>
          <w:szCs w:val="21"/>
          <w:highlight w:val="none"/>
          <w:u w:val="single"/>
        </w:rPr>
        <w:t>的通知》（渝建发〔</w:t>
      </w:r>
      <w:r>
        <w:rPr>
          <w:rFonts w:ascii="宋体" w:hAnsi="宋体" w:cs="宋体"/>
          <w:color w:val="auto"/>
          <w:kern w:val="0"/>
          <w:szCs w:val="21"/>
          <w:highlight w:val="none"/>
          <w:u w:val="single"/>
        </w:rPr>
        <w:t>2008</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169</w:t>
      </w:r>
      <w:r>
        <w:rPr>
          <w:rFonts w:hint="eastAsia" w:ascii="宋体" w:hAnsi="宋体" w:cs="宋体"/>
          <w:color w:val="auto"/>
          <w:kern w:val="0"/>
          <w:szCs w:val="21"/>
          <w:highlight w:val="none"/>
          <w:u w:val="single"/>
        </w:rPr>
        <w:t>号）等相关规定履行好施工扬尘控制、文明施工等责任。</w:t>
      </w:r>
    </w:p>
    <w:p w14:paraId="237B0276">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承包人应按规定设置施工现场围挡，承包人采用的围挡主体形式应从重庆市城乡建委发布的标准图集（</w:t>
      </w:r>
      <w:r>
        <w:rPr>
          <w:rFonts w:ascii="宋体" w:hAnsi="宋体" w:cs="宋体"/>
          <w:color w:val="auto"/>
          <w:kern w:val="0"/>
          <w:szCs w:val="21"/>
          <w:highlight w:val="none"/>
          <w:u w:val="single"/>
        </w:rPr>
        <w:t>DJBT-062</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DJBT-063</w:t>
      </w:r>
      <w:r>
        <w:rPr>
          <w:rFonts w:hint="eastAsia" w:ascii="宋体" w:hAnsi="宋体" w:cs="宋体"/>
          <w:color w:val="auto"/>
          <w:kern w:val="0"/>
          <w:szCs w:val="21"/>
          <w:highlight w:val="none"/>
          <w:u w:val="single"/>
        </w:rPr>
        <w:t>）中选用，做好施工围挡，围挡应整齐美观，承包人按相关要求做好日常维护和保洁，围挡高度满足规范要求，相关费用已包含在签约合同价中。</w:t>
      </w:r>
    </w:p>
    <w:p w14:paraId="771EE1CD">
      <w:pPr>
        <w:widowControl/>
        <w:adjustRightInd w:val="0"/>
        <w:snapToGrid w:val="0"/>
        <w:spacing w:after="163" w:afterLines="50"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安全文明施工费的要求与内容、提取支付方法以及违反约定造成损失的赔偿等条款，按照现行规范要求执行，做到专款专用。</w:t>
      </w:r>
    </w:p>
    <w:p w14:paraId="5EB1CABE">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发包人在开工前支付安全文明施工费暂定额的50%，剩余安全文明施工费根据工程进度支付。</w:t>
      </w:r>
    </w:p>
    <w:p w14:paraId="0374771C">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ascii="宋体" w:hAnsi="宋体" w:cs="宋体"/>
          <w:color w:val="auto"/>
          <w:kern w:val="0"/>
          <w:szCs w:val="21"/>
          <w:highlight w:val="none"/>
        </w:rPr>
        <w:t xml:space="preserve">7.8 </w:t>
      </w:r>
      <w:r>
        <w:rPr>
          <w:rFonts w:hint="eastAsia" w:ascii="宋体" w:hAnsi="宋体" w:cs="宋体"/>
          <w:color w:val="auto"/>
          <w:kern w:val="0"/>
          <w:szCs w:val="21"/>
          <w:highlight w:val="none"/>
        </w:rPr>
        <w:t>环境保护</w:t>
      </w:r>
    </w:p>
    <w:p w14:paraId="327E054B">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本款补充</w:t>
      </w:r>
      <w:r>
        <w:rPr>
          <w:rFonts w:ascii="宋体" w:hAnsi="宋体" w:cs="宋体"/>
          <w:color w:val="auto"/>
          <w:kern w:val="0"/>
          <w:szCs w:val="21"/>
          <w:highlight w:val="none"/>
          <w:u w:val="single"/>
        </w:rPr>
        <w:t>7.8.4</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7.8.11</w:t>
      </w:r>
      <w:r>
        <w:rPr>
          <w:rFonts w:hint="eastAsia" w:ascii="宋体" w:hAnsi="宋体" w:cs="宋体"/>
          <w:color w:val="auto"/>
          <w:kern w:val="0"/>
          <w:szCs w:val="21"/>
          <w:highlight w:val="none"/>
          <w:u w:val="single"/>
        </w:rPr>
        <w:t>项：</w:t>
      </w:r>
    </w:p>
    <w:p w14:paraId="39ADEBFC">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ascii="宋体" w:hAnsi="宋体" w:cs="宋体"/>
          <w:color w:val="auto"/>
          <w:kern w:val="0"/>
          <w:szCs w:val="21"/>
          <w:highlight w:val="none"/>
          <w:u w:val="single"/>
        </w:rPr>
        <w:t xml:space="preserve">7.8.4 </w:t>
      </w:r>
      <w:r>
        <w:rPr>
          <w:rFonts w:hint="eastAsia" w:ascii="宋体" w:hAnsi="宋体" w:cs="宋体"/>
          <w:color w:val="auto"/>
          <w:kern w:val="0"/>
          <w:szCs w:val="21"/>
          <w:highlight w:val="none"/>
          <w:u w:val="single"/>
        </w:rPr>
        <w:t>承包人应严格按照项目环境影响评价文件批准书结合发包人报送的环境影响报告书的要求进行环境保护的相关工作。如行政主管部门有新标准，则按最新标准执行，执行新标准增加的费用由发包人承担。</w:t>
      </w:r>
    </w:p>
    <w:p w14:paraId="71B21164">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ascii="宋体" w:hAnsi="宋体" w:cs="宋体"/>
          <w:color w:val="auto"/>
          <w:kern w:val="0"/>
          <w:szCs w:val="21"/>
          <w:highlight w:val="none"/>
          <w:u w:val="single"/>
        </w:rPr>
        <w:t xml:space="preserve">7.8.5 </w:t>
      </w:r>
      <w:r>
        <w:rPr>
          <w:rFonts w:hint="eastAsia" w:ascii="宋体" w:hAnsi="宋体" w:cs="宋体"/>
          <w:color w:val="auto"/>
          <w:kern w:val="0"/>
          <w:szCs w:val="21"/>
          <w:highlight w:val="none"/>
          <w:u w:val="single"/>
        </w:rPr>
        <w:t>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72214925">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ascii="宋体" w:hAnsi="宋体" w:cs="宋体"/>
          <w:color w:val="auto"/>
          <w:kern w:val="0"/>
          <w:szCs w:val="21"/>
          <w:highlight w:val="none"/>
          <w:u w:val="single"/>
        </w:rPr>
        <w:t xml:space="preserve">7.8.6 </w:t>
      </w:r>
      <w:r>
        <w:rPr>
          <w:rFonts w:hint="eastAsia" w:ascii="宋体" w:hAnsi="宋体" w:cs="宋体"/>
          <w:color w:val="auto"/>
          <w:kern w:val="0"/>
          <w:szCs w:val="21"/>
          <w:highlight w:val="none"/>
          <w:u w:val="single"/>
        </w:rPr>
        <w:t>承包人应加强生态环境保护工作。施工期间，采取边坡防护，挡渣坝、排水沟、沉淀池、表土剥离和绿化恢复等水土保持措施减少水土流失量，绿化恢复宜采用适于当地生长的植物。</w:t>
      </w:r>
    </w:p>
    <w:p w14:paraId="2465215A">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ascii="宋体" w:hAnsi="宋体" w:cs="宋体"/>
          <w:color w:val="auto"/>
          <w:kern w:val="0"/>
          <w:szCs w:val="21"/>
          <w:highlight w:val="none"/>
          <w:u w:val="single"/>
        </w:rPr>
        <w:t xml:space="preserve">7.8.7 </w:t>
      </w:r>
      <w:r>
        <w:rPr>
          <w:rFonts w:hint="eastAsia" w:ascii="宋体" w:hAnsi="宋体" w:cs="宋体"/>
          <w:color w:val="auto"/>
          <w:kern w:val="0"/>
          <w:szCs w:val="21"/>
          <w:highlight w:val="none"/>
          <w:u w:val="single"/>
        </w:rPr>
        <w:t>承包人应认真落实水污染防治措施。施工期间，加强机械设备维护，减少跑冒滴漏等现象；做好含油废水处理措施；施工场地生活污水经生化处理后达到《污水综合排放标准》（</w:t>
      </w:r>
      <w:r>
        <w:rPr>
          <w:rFonts w:ascii="宋体" w:hAnsi="宋体" w:cs="宋体"/>
          <w:color w:val="auto"/>
          <w:kern w:val="0"/>
          <w:szCs w:val="21"/>
          <w:highlight w:val="none"/>
          <w:u w:val="single"/>
        </w:rPr>
        <w:t>GB8978-1996</w:t>
      </w:r>
      <w:r>
        <w:rPr>
          <w:rFonts w:hint="eastAsia" w:ascii="宋体" w:hAnsi="宋体" w:cs="宋体"/>
          <w:color w:val="auto"/>
          <w:kern w:val="0"/>
          <w:szCs w:val="21"/>
          <w:highlight w:val="none"/>
          <w:u w:val="single"/>
        </w:rPr>
        <w:t>）一级标准后排放。</w:t>
      </w:r>
    </w:p>
    <w:p w14:paraId="092836A8">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ascii="宋体" w:hAnsi="宋体" w:cs="宋体"/>
          <w:color w:val="auto"/>
          <w:kern w:val="0"/>
          <w:szCs w:val="21"/>
          <w:highlight w:val="none"/>
          <w:u w:val="single"/>
        </w:rPr>
        <w:t xml:space="preserve">7.8.8 </w:t>
      </w:r>
      <w:r>
        <w:rPr>
          <w:rFonts w:hint="eastAsia" w:ascii="宋体" w:hAnsi="宋体" w:cs="宋体"/>
          <w:color w:val="auto"/>
          <w:kern w:val="0"/>
          <w:szCs w:val="21"/>
          <w:highlight w:val="none"/>
          <w:u w:val="single"/>
        </w:rPr>
        <w:t>承包人应重视大气污染物污染防治措施。施工期间，严格执行市政府“蓝天行动”方案等有关规定，通过洒水防尘，严格控制施工场地扬尘和运输扬尘污染。</w:t>
      </w:r>
    </w:p>
    <w:p w14:paraId="7FB691C1">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ascii="宋体" w:hAnsi="宋体" w:cs="宋体"/>
          <w:color w:val="auto"/>
          <w:kern w:val="0"/>
          <w:szCs w:val="21"/>
          <w:highlight w:val="none"/>
          <w:u w:val="single"/>
        </w:rPr>
        <w:t xml:space="preserve">7.8.9 </w:t>
      </w:r>
      <w:r>
        <w:rPr>
          <w:rFonts w:hint="eastAsia" w:ascii="宋体" w:hAnsi="宋体" w:cs="宋体"/>
          <w:color w:val="auto"/>
          <w:kern w:val="0"/>
          <w:szCs w:val="21"/>
          <w:highlight w:val="none"/>
          <w:u w:val="single"/>
        </w:rPr>
        <w:t>承包人应落实固体废物污染防治措施。施工期间，项目产生的弃方不可合理利用的，应运往指定的弃渣场内堆存；建筑垃圾运至指定的建筑垃圾消纳场处置；生活垃圾由当地环卫部门统一处置。</w:t>
      </w:r>
    </w:p>
    <w:p w14:paraId="3263174B">
      <w:pPr>
        <w:widowControl/>
        <w:adjustRightInd w:val="0"/>
        <w:snapToGrid w:val="0"/>
        <w:spacing w:after="163" w:afterLines="50" w:line="360" w:lineRule="auto"/>
        <w:ind w:firstLine="420" w:firstLineChars="200"/>
        <w:jc w:val="left"/>
        <w:rPr>
          <w:rFonts w:ascii="宋体" w:hAnsi="宋体" w:cs="宋体"/>
          <w:color w:val="auto"/>
          <w:kern w:val="0"/>
          <w:highlight w:val="none"/>
          <w:u w:val="single"/>
        </w:rPr>
      </w:pPr>
      <w:r>
        <w:rPr>
          <w:rFonts w:ascii="宋体" w:hAnsi="宋体" w:cs="宋体"/>
          <w:color w:val="auto"/>
          <w:kern w:val="0"/>
          <w:szCs w:val="21"/>
          <w:highlight w:val="none"/>
          <w:u w:val="single"/>
        </w:rPr>
        <w:t xml:space="preserve">7.8.10 </w:t>
      </w:r>
      <w:r>
        <w:rPr>
          <w:rFonts w:hint="eastAsia" w:ascii="宋体" w:hAnsi="宋体" w:cs="宋体"/>
          <w:color w:val="auto"/>
          <w:kern w:val="0"/>
          <w:szCs w:val="21"/>
          <w:highlight w:val="none"/>
          <w:u w:val="single"/>
        </w:rPr>
        <w:t>承包人应认真落实噪声污染防治措施。施工期间，优选低噪声设备，合理安排施工时间，严格控制夜间施工，昼、夜施工场界需满足《建筑施工场界环境噪声排放标准》（</w:t>
      </w:r>
      <w:r>
        <w:rPr>
          <w:rFonts w:ascii="宋体" w:hAnsi="宋体" w:cs="宋体"/>
          <w:color w:val="auto"/>
          <w:kern w:val="0"/>
          <w:szCs w:val="21"/>
          <w:highlight w:val="none"/>
          <w:u w:val="single"/>
        </w:rPr>
        <w:t>GB12523-2011</w:t>
      </w:r>
      <w:r>
        <w:rPr>
          <w:rFonts w:hint="eastAsia" w:ascii="宋体" w:hAnsi="宋体" w:cs="宋体"/>
          <w:color w:val="auto"/>
          <w:kern w:val="0"/>
          <w:szCs w:val="21"/>
          <w:highlight w:val="none"/>
          <w:u w:val="single"/>
        </w:rPr>
        <w:t>）。</w:t>
      </w:r>
    </w:p>
    <w:p w14:paraId="0177F64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u w:val="single"/>
        </w:rPr>
        <w:t xml:space="preserve">7.8.11 </w:t>
      </w:r>
      <w:r>
        <w:rPr>
          <w:rFonts w:hint="eastAsia" w:ascii="宋体" w:hAnsi="宋体" w:cs="宋体"/>
          <w:color w:val="auto"/>
          <w:kern w:val="0"/>
          <w:szCs w:val="21"/>
          <w:highlight w:val="none"/>
          <w:u w:val="single"/>
        </w:rPr>
        <w:t>承包人自行负责办理有关施工场地交通、环卫和施工噪音管理等手续，并应按要求结合自身实际和重庆市相关规定，考虑不低于以上标准的此类工作。</w:t>
      </w:r>
    </w:p>
    <w:p w14:paraId="1993158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7.9 </w:t>
      </w:r>
      <w:r>
        <w:rPr>
          <w:rFonts w:hint="eastAsia" w:ascii="宋体" w:hAnsi="宋体" w:cs="宋体"/>
          <w:color w:val="auto"/>
          <w:kern w:val="0"/>
          <w:szCs w:val="21"/>
          <w:highlight w:val="none"/>
        </w:rPr>
        <w:t>临时性公用设施</w:t>
      </w:r>
    </w:p>
    <w:p w14:paraId="4167002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关于临时性公用设施的特别约定：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763AF2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7.10 </w:t>
      </w:r>
      <w:r>
        <w:rPr>
          <w:rFonts w:hint="eastAsia" w:ascii="宋体" w:hAnsi="宋体" w:cs="宋体"/>
          <w:color w:val="auto"/>
          <w:kern w:val="0"/>
          <w:szCs w:val="21"/>
          <w:highlight w:val="none"/>
        </w:rPr>
        <w:t>现场安保</w:t>
      </w:r>
    </w:p>
    <w:p w14:paraId="0841240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承包人现场安保义务的特别约定：</w:t>
      </w:r>
      <w:r>
        <w:rPr>
          <w:rFonts w:hint="eastAsia" w:ascii="宋体" w:hAnsi="宋体" w:cs="宋体"/>
          <w:color w:val="auto"/>
          <w:kern w:val="0"/>
          <w:szCs w:val="21"/>
          <w:highlight w:val="none"/>
          <w:u w:val="single"/>
        </w:rPr>
        <w:t>承包人负责组建施工现场治安管理机构或联防组织；承包人负责编制施工场地治安管理计划和突发治安事件紧急预案</w:t>
      </w:r>
      <w:r>
        <w:rPr>
          <w:rFonts w:hint="eastAsia" w:ascii="宋体" w:hAnsi="宋体" w:cs="宋体"/>
          <w:color w:val="auto"/>
          <w:kern w:val="0"/>
          <w:szCs w:val="21"/>
          <w:highlight w:val="none"/>
        </w:rPr>
        <w:t>。</w:t>
      </w:r>
    </w:p>
    <w:p w14:paraId="3B25EA04">
      <w:pPr>
        <w:widowControl/>
        <w:adjustRightInd w:val="0"/>
        <w:snapToGrid w:val="0"/>
        <w:spacing w:after="163" w:afterLines="50" w:line="360" w:lineRule="auto"/>
        <w:outlineLvl w:val="1"/>
        <w:rPr>
          <w:rFonts w:ascii="宋体" w:hAnsi="宋体" w:cs="Times"/>
          <w:color w:val="auto"/>
          <w:kern w:val="0"/>
          <w:highlight w:val="none"/>
        </w:rPr>
      </w:pPr>
      <w:bookmarkStart w:id="2652" w:name="_Toc20171881"/>
      <w:bookmarkEnd w:id="2652"/>
      <w:bookmarkStart w:id="2653" w:name="_Toc84930868"/>
      <w:bookmarkStart w:id="2654" w:name="_Toc170932599"/>
      <w:bookmarkStart w:id="2655" w:name="_Toc10694"/>
      <w:r>
        <w:rPr>
          <w:rFonts w:hint="eastAsia" w:ascii="宋体" w:hAnsi="宋体" w:cs="Times"/>
          <w:color w:val="auto"/>
          <w:kern w:val="0"/>
          <w:szCs w:val="21"/>
          <w:highlight w:val="none"/>
        </w:rPr>
        <w:t>第</w:t>
      </w:r>
      <w:r>
        <w:rPr>
          <w:rFonts w:ascii="宋体" w:hAnsi="宋体" w:cs="Times"/>
          <w:color w:val="auto"/>
          <w:kern w:val="0"/>
          <w:szCs w:val="21"/>
          <w:highlight w:val="none"/>
        </w:rPr>
        <w:t>8</w:t>
      </w:r>
      <w:r>
        <w:rPr>
          <w:rFonts w:hint="eastAsia" w:ascii="宋体" w:hAnsi="宋体" w:cs="Times"/>
          <w:color w:val="auto"/>
          <w:kern w:val="0"/>
          <w:szCs w:val="21"/>
          <w:highlight w:val="none"/>
        </w:rPr>
        <w:t>条工期和进度</w:t>
      </w:r>
      <w:bookmarkEnd w:id="2653"/>
      <w:bookmarkEnd w:id="2654"/>
      <w:bookmarkEnd w:id="2655"/>
    </w:p>
    <w:p w14:paraId="015AF39F">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8.1 </w:t>
      </w:r>
      <w:r>
        <w:rPr>
          <w:rFonts w:hint="eastAsia" w:ascii="宋体" w:hAnsi="宋体" w:cs="宋体"/>
          <w:color w:val="auto"/>
          <w:kern w:val="0"/>
          <w:szCs w:val="21"/>
          <w:highlight w:val="none"/>
        </w:rPr>
        <w:t>开始工作</w:t>
      </w:r>
    </w:p>
    <w:p w14:paraId="622D3CC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8.1.1 </w:t>
      </w:r>
      <w:r>
        <w:rPr>
          <w:rFonts w:hint="eastAsia" w:ascii="宋体" w:hAnsi="宋体" w:cs="宋体"/>
          <w:color w:val="auto"/>
          <w:kern w:val="0"/>
          <w:szCs w:val="21"/>
          <w:highlight w:val="none"/>
        </w:rPr>
        <w:t>开始准备工作：</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AB405EC">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8.1.2 </w:t>
      </w:r>
      <w:r>
        <w:rPr>
          <w:rFonts w:hint="eastAsia" w:ascii="宋体" w:hAnsi="宋体" w:cs="宋体"/>
          <w:color w:val="auto"/>
          <w:kern w:val="0"/>
          <w:szCs w:val="21"/>
          <w:highlight w:val="none"/>
        </w:rPr>
        <w:t>发包人可在计划开始工作之日起</w:t>
      </w:r>
      <w:r>
        <w:rPr>
          <w:rFonts w:ascii="宋体" w:hAnsi="宋体" w:cs="宋体"/>
          <w:color w:val="auto"/>
          <w:kern w:val="0"/>
          <w:szCs w:val="21"/>
          <w:highlight w:val="none"/>
        </w:rPr>
        <w:t>84</w:t>
      </w:r>
      <w:r>
        <w:rPr>
          <w:rFonts w:hint="eastAsia" w:ascii="宋体" w:hAnsi="宋体" w:cs="宋体"/>
          <w:color w:val="auto"/>
          <w:kern w:val="0"/>
          <w:szCs w:val="21"/>
          <w:highlight w:val="none"/>
        </w:rPr>
        <w:t>日后发出开始工作通知的特殊情形：</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EF5588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8.2 </w:t>
      </w:r>
      <w:r>
        <w:rPr>
          <w:rFonts w:hint="eastAsia" w:ascii="宋体" w:hAnsi="宋体" w:cs="宋体"/>
          <w:color w:val="auto"/>
          <w:kern w:val="0"/>
          <w:szCs w:val="21"/>
          <w:highlight w:val="none"/>
        </w:rPr>
        <w:t>竣工日期</w:t>
      </w:r>
    </w:p>
    <w:p w14:paraId="283B6F51">
      <w:pPr>
        <w:widowControl/>
        <w:spacing w:line="4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竣工日期的约定：</w:t>
      </w:r>
      <w:r>
        <w:rPr>
          <w:rFonts w:hint="eastAsia" w:ascii="宋体" w:hAnsi="宋体" w:cs="宋体"/>
          <w:color w:val="auto"/>
          <w:kern w:val="0"/>
          <w:szCs w:val="21"/>
          <w:highlight w:val="none"/>
          <w:u w:val="single"/>
          <w:lang w:bidi="ar"/>
        </w:rPr>
        <w:t>实际竣工日期以提交竣工验收申请报告的日期为准</w:t>
      </w:r>
      <w:r>
        <w:rPr>
          <w:rFonts w:hint="eastAsia" w:ascii="宋体" w:hAnsi="宋体" w:cs="宋体"/>
          <w:color w:val="auto"/>
          <w:kern w:val="0"/>
          <w:szCs w:val="21"/>
          <w:highlight w:val="none"/>
          <w:u w:val="single"/>
        </w:rPr>
        <w:t>。</w:t>
      </w:r>
    </w:p>
    <w:p w14:paraId="5D4AAFDC">
      <w:pPr>
        <w:widowControl/>
        <w:spacing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 xml:space="preserve">8.3 </w:t>
      </w:r>
      <w:r>
        <w:rPr>
          <w:rFonts w:hint="eastAsia" w:ascii="宋体" w:hAnsi="宋体" w:cs="宋体"/>
          <w:color w:val="auto"/>
          <w:kern w:val="0"/>
          <w:szCs w:val="21"/>
          <w:highlight w:val="none"/>
        </w:rPr>
        <w:t>项目实施计划</w:t>
      </w:r>
    </w:p>
    <w:p w14:paraId="4A9A12E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8.3.1 </w:t>
      </w:r>
      <w:r>
        <w:rPr>
          <w:rFonts w:hint="eastAsia" w:ascii="宋体" w:hAnsi="宋体" w:cs="宋体"/>
          <w:color w:val="auto"/>
          <w:kern w:val="0"/>
          <w:szCs w:val="21"/>
          <w:highlight w:val="none"/>
        </w:rPr>
        <w:t>项目实施计划的内容</w:t>
      </w:r>
    </w:p>
    <w:p w14:paraId="6A5AC94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项目实施计划的内容：</w:t>
      </w:r>
      <w:r>
        <w:rPr>
          <w:rFonts w:hint="eastAsia" w:ascii="宋体" w:hAnsi="宋体" w:cs="宋体"/>
          <w:color w:val="auto"/>
          <w:kern w:val="0"/>
          <w:szCs w:val="21"/>
          <w:highlight w:val="none"/>
          <w:u w:val="single"/>
        </w:rPr>
        <w:t>应采用文字并结合图表形式说明工程总承包</w:t>
      </w:r>
      <w:r>
        <w:rPr>
          <w:rFonts w:hint="eastAsia" w:ascii="宋体" w:hAnsi="宋体" w:cs="宋体"/>
          <w:color w:val="auto"/>
          <w:kern w:val="0"/>
          <w:szCs w:val="21"/>
          <w:highlight w:val="none"/>
        </w:rPr>
        <w:t>总体实施方案、施工图设计方案、采购计划以及施工方法</w:t>
      </w:r>
      <w:r>
        <w:rPr>
          <w:rFonts w:hint="eastAsia" w:ascii="宋体" w:hAnsi="宋体" w:cs="宋体"/>
          <w:color w:val="auto"/>
          <w:kern w:val="0"/>
          <w:szCs w:val="21"/>
          <w:highlight w:val="none"/>
          <w:u w:val="single"/>
        </w:rPr>
        <w:t>；列表说明拟投入工程的主要施工设备情况、拟配备工程的试验和检测仪器设备情况、劳动力计划等；结合工程特点提出切实可行的设计思路、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s="宋体"/>
          <w:color w:val="auto"/>
          <w:kern w:val="0"/>
          <w:szCs w:val="21"/>
          <w:highlight w:val="none"/>
        </w:rPr>
        <w:t>。</w:t>
      </w:r>
    </w:p>
    <w:p w14:paraId="14C6692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8.3.2 </w:t>
      </w:r>
      <w:r>
        <w:rPr>
          <w:rFonts w:hint="eastAsia" w:ascii="宋体" w:hAnsi="宋体" w:cs="宋体"/>
          <w:color w:val="auto"/>
          <w:kern w:val="0"/>
          <w:szCs w:val="21"/>
          <w:highlight w:val="none"/>
        </w:rPr>
        <w:t>项目实施计划的提交和修改</w:t>
      </w:r>
    </w:p>
    <w:p w14:paraId="4ADA571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项目实施计划的提交及修改期限：</w:t>
      </w:r>
      <w:r>
        <w:rPr>
          <w:rFonts w:hint="eastAsia" w:ascii="宋体" w:hAnsi="宋体" w:cs="宋体"/>
          <w:color w:val="auto"/>
          <w:kern w:val="0"/>
          <w:szCs w:val="21"/>
          <w:highlight w:val="none"/>
          <w:u w:val="single"/>
        </w:rPr>
        <w:t>合同订立后3天内，但最迟不得晚于开始工作通知载明的开始工作日期前</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w:t>
      </w:r>
      <w:r>
        <w:rPr>
          <w:rFonts w:hint="eastAsia" w:ascii="宋体" w:hAnsi="宋体" w:cs="宋体"/>
          <w:color w:val="auto"/>
          <w:kern w:val="0"/>
          <w:szCs w:val="21"/>
          <w:highlight w:val="none"/>
        </w:rPr>
        <w:t>。</w:t>
      </w:r>
    </w:p>
    <w:p w14:paraId="52E88CED">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8.4 </w:t>
      </w:r>
      <w:r>
        <w:rPr>
          <w:rFonts w:hint="eastAsia" w:ascii="宋体" w:hAnsi="宋体" w:cs="宋体"/>
          <w:color w:val="auto"/>
          <w:kern w:val="0"/>
          <w:szCs w:val="21"/>
          <w:highlight w:val="none"/>
        </w:rPr>
        <w:t>项目进度计划</w:t>
      </w:r>
    </w:p>
    <w:p w14:paraId="2113643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8.4.1</w:t>
      </w:r>
      <w:r>
        <w:rPr>
          <w:rFonts w:hint="eastAsia" w:ascii="宋体" w:hAnsi="宋体" w:cs="宋体"/>
          <w:color w:val="auto"/>
          <w:kern w:val="0"/>
          <w:szCs w:val="21"/>
          <w:highlight w:val="none"/>
        </w:rPr>
        <w:t>监理人在收到进度计划后确认或提出修改意见的期限：</w:t>
      </w:r>
      <w:r>
        <w:rPr>
          <w:rFonts w:hint="eastAsia" w:ascii="宋体" w:hAnsi="宋体" w:cs="宋体"/>
          <w:color w:val="auto"/>
          <w:kern w:val="0"/>
          <w:szCs w:val="21"/>
          <w:highlight w:val="none"/>
          <w:u w:val="single"/>
        </w:rPr>
        <w:t>收到进度计划后5天内</w:t>
      </w:r>
      <w:r>
        <w:rPr>
          <w:rFonts w:hint="eastAsia" w:ascii="宋体" w:hAnsi="宋体" w:cs="宋体"/>
          <w:color w:val="auto"/>
          <w:kern w:val="0"/>
          <w:szCs w:val="21"/>
          <w:highlight w:val="none"/>
        </w:rPr>
        <w:t>。</w:t>
      </w:r>
    </w:p>
    <w:p w14:paraId="5DB08E89">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8.4.2 </w:t>
      </w:r>
      <w:r>
        <w:rPr>
          <w:rFonts w:hint="eastAsia" w:ascii="宋体" w:hAnsi="宋体" w:cs="宋体"/>
          <w:color w:val="auto"/>
          <w:kern w:val="0"/>
          <w:szCs w:val="21"/>
          <w:highlight w:val="none"/>
        </w:rPr>
        <w:t>进度计划的具体要求：</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3B18BC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关键路径及关键路径变化的确定原则：</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996449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承包人提交项目进度计划的份数和时间：</w:t>
      </w:r>
      <w:r>
        <w:rPr>
          <w:rFonts w:hint="eastAsia" w:ascii="宋体" w:hAnsi="宋体" w:cs="宋体"/>
          <w:color w:val="auto"/>
          <w:kern w:val="0"/>
          <w:szCs w:val="21"/>
          <w:highlight w:val="none"/>
          <w:u w:val="single"/>
        </w:rPr>
        <w:t>合同订立后7天内提供</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份，但最迟不得晚于开始工作通知载明的开工工作日期前</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w:t>
      </w:r>
      <w:r>
        <w:rPr>
          <w:rFonts w:hint="eastAsia" w:ascii="宋体" w:hAnsi="宋体" w:cs="宋体"/>
          <w:color w:val="auto"/>
          <w:kern w:val="0"/>
          <w:szCs w:val="21"/>
          <w:highlight w:val="none"/>
        </w:rPr>
        <w:t>。</w:t>
      </w:r>
    </w:p>
    <w:p w14:paraId="6678A1A2">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8.4.3 </w:t>
      </w:r>
      <w:r>
        <w:rPr>
          <w:rFonts w:hint="eastAsia" w:ascii="宋体" w:hAnsi="宋体" w:cs="宋体"/>
          <w:color w:val="auto"/>
          <w:kern w:val="0"/>
          <w:szCs w:val="21"/>
          <w:highlight w:val="none"/>
        </w:rPr>
        <w:t>进度计划的修订</w:t>
      </w:r>
    </w:p>
    <w:p w14:paraId="3F936A6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承包人答复发包人修订项目进度计划通知的期限：</w:t>
      </w:r>
      <w:r>
        <w:rPr>
          <w:rFonts w:hint="eastAsia" w:ascii="宋体" w:hAnsi="宋体" w:cs="宋体"/>
          <w:color w:val="auto"/>
          <w:kern w:val="0"/>
          <w:szCs w:val="21"/>
          <w:highlight w:val="none"/>
          <w:u w:val="single"/>
        </w:rPr>
        <w:t>接到修订项目进度计划的通知后</w:t>
      </w:r>
      <w:r>
        <w:rPr>
          <w:rFonts w:ascii="宋体" w:hAnsi="宋体" w:cs="宋体"/>
          <w:color w:val="auto"/>
          <w:kern w:val="0"/>
          <w:szCs w:val="21"/>
          <w:highlight w:val="none"/>
          <w:u w:val="single"/>
        </w:rPr>
        <w:t>2天内</w:t>
      </w:r>
      <w:r>
        <w:rPr>
          <w:rFonts w:hint="eastAsia" w:ascii="宋体" w:hAnsi="宋体" w:cs="宋体"/>
          <w:color w:val="auto"/>
          <w:kern w:val="0"/>
          <w:szCs w:val="21"/>
          <w:highlight w:val="none"/>
        </w:rPr>
        <w:t>。</w:t>
      </w:r>
    </w:p>
    <w:p w14:paraId="0798663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承包人提交修订项目进度计划申请报告的期限：</w:t>
      </w:r>
      <w:r>
        <w:rPr>
          <w:rFonts w:hint="eastAsia" w:ascii="宋体" w:hAnsi="宋体" w:cs="宋体"/>
          <w:color w:val="auto"/>
          <w:kern w:val="0"/>
          <w:szCs w:val="21"/>
          <w:highlight w:val="none"/>
          <w:u w:val="single"/>
        </w:rPr>
        <w:t>接到修订项目进度计划的通知后5</w:t>
      </w:r>
      <w:r>
        <w:rPr>
          <w:rFonts w:ascii="宋体" w:hAnsi="宋体" w:cs="宋体"/>
          <w:color w:val="auto"/>
          <w:kern w:val="0"/>
          <w:szCs w:val="21"/>
          <w:highlight w:val="none"/>
          <w:u w:val="single"/>
        </w:rPr>
        <w:t>天内</w:t>
      </w:r>
      <w:r>
        <w:rPr>
          <w:rFonts w:hint="eastAsia" w:ascii="宋体" w:hAnsi="宋体" w:cs="宋体"/>
          <w:color w:val="auto"/>
          <w:kern w:val="0"/>
          <w:szCs w:val="21"/>
          <w:highlight w:val="none"/>
        </w:rPr>
        <w:t>。</w:t>
      </w:r>
    </w:p>
    <w:p w14:paraId="7DCBABA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发包人批复修订项目进度计划申请报告的期限：</w:t>
      </w:r>
      <w:r>
        <w:rPr>
          <w:rFonts w:hint="eastAsia" w:ascii="宋体" w:hAnsi="宋体" w:cs="宋体"/>
          <w:color w:val="auto"/>
          <w:kern w:val="0"/>
          <w:szCs w:val="21"/>
          <w:highlight w:val="none"/>
          <w:u w:val="single"/>
        </w:rPr>
        <w:t>收到修订项目进度计划申请报告后5天内</w:t>
      </w:r>
      <w:r>
        <w:rPr>
          <w:rFonts w:hint="eastAsia" w:ascii="宋体" w:hAnsi="宋体" w:cs="宋体"/>
          <w:color w:val="auto"/>
          <w:kern w:val="0"/>
          <w:szCs w:val="21"/>
          <w:highlight w:val="none"/>
        </w:rPr>
        <w:t>。</w:t>
      </w:r>
    </w:p>
    <w:p w14:paraId="47525B05">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8.5 </w:t>
      </w:r>
      <w:r>
        <w:rPr>
          <w:rFonts w:hint="eastAsia" w:ascii="宋体" w:hAnsi="宋体" w:cs="宋体"/>
          <w:color w:val="auto"/>
          <w:kern w:val="0"/>
          <w:szCs w:val="21"/>
          <w:highlight w:val="none"/>
        </w:rPr>
        <w:t>进度报告</w:t>
      </w:r>
    </w:p>
    <w:p w14:paraId="7660015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进度报告的具体要求：</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00D850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8.7 </w:t>
      </w:r>
      <w:r>
        <w:rPr>
          <w:rFonts w:hint="eastAsia" w:ascii="宋体" w:hAnsi="宋体" w:cs="宋体"/>
          <w:color w:val="auto"/>
          <w:kern w:val="0"/>
          <w:szCs w:val="21"/>
          <w:highlight w:val="none"/>
        </w:rPr>
        <w:t>工期延误</w:t>
      </w:r>
    </w:p>
    <w:p w14:paraId="3D0CBA04">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8.7.2 </w:t>
      </w:r>
      <w:r>
        <w:rPr>
          <w:rFonts w:hint="eastAsia" w:ascii="宋体" w:hAnsi="宋体" w:cs="宋体"/>
          <w:color w:val="auto"/>
          <w:kern w:val="0"/>
          <w:szCs w:val="21"/>
          <w:highlight w:val="none"/>
        </w:rPr>
        <w:t>因承包人原因导致工期延误</w:t>
      </w:r>
    </w:p>
    <w:p w14:paraId="5A434BC3">
      <w:pPr>
        <w:widowControl/>
        <w:adjustRightInd w:val="0"/>
        <w:snapToGrid w:val="0"/>
        <w:spacing w:after="163" w:afterLines="50"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因承包人原因使竣工日期延误，每延误 1 日的误期赔偿金额为人民币金额为：10000元/天 、累计最高赔偿金额为合同协议书的合同价格的 3% 。</w:t>
      </w:r>
    </w:p>
    <w:p w14:paraId="6361B5D3">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8.7.3 </w:t>
      </w:r>
      <w:r>
        <w:rPr>
          <w:rFonts w:hint="eastAsia" w:ascii="宋体" w:hAnsi="宋体" w:cs="宋体"/>
          <w:color w:val="auto"/>
          <w:kern w:val="0"/>
          <w:szCs w:val="21"/>
          <w:highlight w:val="none"/>
        </w:rPr>
        <w:t>行政审批迟延</w:t>
      </w:r>
    </w:p>
    <w:p w14:paraId="2439110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行政审批报送的职责分工：</w:t>
      </w:r>
      <w:r>
        <w:rPr>
          <w:rFonts w:hint="eastAsia" w:ascii="宋体" w:hAnsi="宋体" w:cs="宋体"/>
          <w:color w:val="auto"/>
          <w:kern w:val="0"/>
          <w:szCs w:val="21"/>
          <w:highlight w:val="none"/>
          <w:u w:val="single"/>
        </w:rPr>
        <w:t>由承包人提供相关资料及报送，发包人配合提供资料及报送</w:t>
      </w:r>
      <w:r>
        <w:rPr>
          <w:rFonts w:hint="eastAsia" w:ascii="宋体" w:hAnsi="宋体" w:cs="宋体"/>
          <w:color w:val="auto"/>
          <w:kern w:val="0"/>
          <w:szCs w:val="21"/>
          <w:highlight w:val="none"/>
        </w:rPr>
        <w:t>。</w:t>
      </w:r>
    </w:p>
    <w:p w14:paraId="1556AC63">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8.7.4 </w:t>
      </w:r>
      <w:r>
        <w:rPr>
          <w:rFonts w:hint="eastAsia" w:ascii="宋体" w:hAnsi="宋体" w:cs="宋体"/>
          <w:color w:val="auto"/>
          <w:kern w:val="0"/>
          <w:szCs w:val="21"/>
          <w:highlight w:val="none"/>
        </w:rPr>
        <w:t>异常恶劣的气候条件</w:t>
      </w:r>
    </w:p>
    <w:p w14:paraId="353E841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双方约定视为异常恶劣的气候条件的情形：</w:t>
      </w:r>
      <w:r>
        <w:rPr>
          <w:rFonts w:hint="eastAsia" w:ascii="宋体" w:hAnsi="宋体" w:cs="宋体"/>
          <w:color w:val="auto"/>
          <w:kern w:val="0"/>
          <w:szCs w:val="21"/>
          <w:highlight w:val="none"/>
          <w:u w:val="single"/>
        </w:rPr>
        <w:t>（异常恶劣气候是指项目所在地</w:t>
      </w:r>
      <w:r>
        <w:rPr>
          <w:rFonts w:ascii="宋体" w:hAnsi="宋体" w:cs="宋体"/>
          <w:color w:val="auto"/>
          <w:kern w:val="0"/>
          <w:szCs w:val="21"/>
          <w:highlight w:val="none"/>
          <w:u w:val="single"/>
        </w:rPr>
        <w:t>50</w:t>
      </w:r>
      <w:r>
        <w:rPr>
          <w:rFonts w:hint="eastAsia" w:ascii="宋体" w:hAnsi="宋体" w:cs="宋体"/>
          <w:color w:val="auto"/>
          <w:kern w:val="0"/>
          <w:szCs w:val="21"/>
          <w:highlight w:val="none"/>
          <w:u w:val="single"/>
        </w:rPr>
        <w:t>年以上一遇的罕见恶劣气候现象）</w:t>
      </w:r>
      <w:r>
        <w:rPr>
          <w:rFonts w:hint="eastAsia" w:ascii="宋体" w:hAnsi="宋体" w:cs="宋体"/>
          <w:color w:val="auto"/>
          <w:kern w:val="0"/>
          <w:szCs w:val="21"/>
          <w:highlight w:val="none"/>
        </w:rPr>
        <w:t>。</w:t>
      </w:r>
    </w:p>
    <w:p w14:paraId="3702BD9D">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8.8 </w:t>
      </w:r>
      <w:r>
        <w:rPr>
          <w:rFonts w:hint="eastAsia" w:ascii="宋体" w:hAnsi="宋体" w:cs="宋体"/>
          <w:color w:val="auto"/>
          <w:kern w:val="0"/>
          <w:szCs w:val="21"/>
          <w:highlight w:val="none"/>
        </w:rPr>
        <w:t>工期提前</w:t>
      </w:r>
    </w:p>
    <w:p w14:paraId="0901973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8.8.2 </w:t>
      </w:r>
      <w:r>
        <w:rPr>
          <w:rFonts w:hint="eastAsia" w:ascii="宋体" w:hAnsi="宋体" w:cs="宋体"/>
          <w:color w:val="auto"/>
          <w:kern w:val="0"/>
          <w:szCs w:val="21"/>
          <w:highlight w:val="none"/>
        </w:rPr>
        <w:t>承包人提前竣工的奖励：</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7224C44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本款补充</w:t>
      </w:r>
      <w:r>
        <w:rPr>
          <w:rFonts w:ascii="宋体" w:hAnsi="宋体" w:cs="宋体"/>
          <w:color w:val="auto"/>
          <w:kern w:val="0"/>
          <w:szCs w:val="21"/>
          <w:highlight w:val="none"/>
        </w:rPr>
        <w:t>8.8.3</w:t>
      </w:r>
      <w:r>
        <w:rPr>
          <w:rFonts w:hint="eastAsia" w:ascii="宋体" w:hAnsi="宋体" w:cs="宋体"/>
          <w:color w:val="auto"/>
          <w:kern w:val="0"/>
          <w:szCs w:val="21"/>
          <w:highlight w:val="none"/>
        </w:rPr>
        <w:t>项：</w:t>
      </w:r>
    </w:p>
    <w:p w14:paraId="1717C95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8.8.3</w:t>
      </w:r>
      <w:r>
        <w:rPr>
          <w:rFonts w:hint="eastAsia" w:ascii="宋体" w:hAnsi="宋体" w:cs="宋体"/>
          <w:color w:val="auto"/>
          <w:kern w:val="0"/>
          <w:szCs w:val="21"/>
          <w:highlight w:val="none"/>
        </w:rPr>
        <w:t>发包人不得随意要求承包人提前竣工，承包人也不得随意提出提前竣工的建议。如遇特殊情况，确需将工期提前的，发包人和承包人必须采取有效措施，确保工程质量。</w:t>
      </w:r>
    </w:p>
    <w:p w14:paraId="14234E4A">
      <w:pPr>
        <w:widowControl/>
        <w:adjustRightInd w:val="0"/>
        <w:snapToGrid w:val="0"/>
        <w:spacing w:after="163" w:afterLines="50" w:line="360" w:lineRule="auto"/>
        <w:outlineLvl w:val="1"/>
        <w:rPr>
          <w:rFonts w:ascii="宋体" w:hAnsi="宋体" w:cs="Times"/>
          <w:color w:val="auto"/>
          <w:kern w:val="0"/>
          <w:highlight w:val="none"/>
        </w:rPr>
      </w:pPr>
      <w:bookmarkStart w:id="2656" w:name="_Toc20171882"/>
      <w:bookmarkEnd w:id="2656"/>
      <w:bookmarkStart w:id="2657" w:name="_Toc170932600"/>
      <w:bookmarkStart w:id="2658" w:name="_Toc31718"/>
      <w:bookmarkStart w:id="2659" w:name="_Toc84930869"/>
      <w:r>
        <w:rPr>
          <w:rFonts w:hint="eastAsia" w:ascii="宋体" w:hAnsi="宋体" w:cs="Times"/>
          <w:color w:val="auto"/>
          <w:kern w:val="0"/>
          <w:szCs w:val="21"/>
          <w:highlight w:val="none"/>
        </w:rPr>
        <w:t>第</w:t>
      </w:r>
      <w:r>
        <w:rPr>
          <w:rFonts w:ascii="宋体" w:hAnsi="宋体" w:cs="Times"/>
          <w:color w:val="auto"/>
          <w:kern w:val="0"/>
          <w:szCs w:val="21"/>
          <w:highlight w:val="none"/>
        </w:rPr>
        <w:t>9</w:t>
      </w:r>
      <w:r>
        <w:rPr>
          <w:rFonts w:hint="eastAsia" w:ascii="宋体" w:hAnsi="宋体" w:cs="Times"/>
          <w:color w:val="auto"/>
          <w:kern w:val="0"/>
          <w:szCs w:val="21"/>
          <w:highlight w:val="none"/>
        </w:rPr>
        <w:t>条竣工试验</w:t>
      </w:r>
      <w:bookmarkEnd w:id="2657"/>
      <w:bookmarkEnd w:id="2658"/>
      <w:bookmarkEnd w:id="2659"/>
    </w:p>
    <w:p w14:paraId="25499B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本合同工程是否包含竣工试验：</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9D0EBC1">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9.1 </w:t>
      </w:r>
      <w:r>
        <w:rPr>
          <w:rFonts w:hint="eastAsia" w:ascii="宋体" w:hAnsi="宋体" w:cs="宋体"/>
          <w:color w:val="auto"/>
          <w:kern w:val="0"/>
          <w:szCs w:val="21"/>
          <w:highlight w:val="none"/>
        </w:rPr>
        <w:t>竣工试验的义务</w:t>
      </w:r>
    </w:p>
    <w:p w14:paraId="19DA020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9.1.1 </w:t>
      </w:r>
      <w:r>
        <w:rPr>
          <w:rFonts w:hint="eastAsia" w:ascii="宋体" w:hAnsi="宋体" w:cs="宋体"/>
          <w:color w:val="auto"/>
          <w:kern w:val="0"/>
          <w:szCs w:val="21"/>
          <w:highlight w:val="none"/>
        </w:rPr>
        <w:t>竣工试验方案的提交份数、时间和内容：</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03F1D1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9.1.2 </w:t>
      </w:r>
      <w:r>
        <w:rPr>
          <w:rFonts w:hint="eastAsia" w:ascii="宋体" w:hAnsi="宋体" w:cs="宋体"/>
          <w:color w:val="auto"/>
          <w:kern w:val="0"/>
          <w:szCs w:val="21"/>
          <w:highlight w:val="none"/>
        </w:rPr>
        <w:t>竣工试验所需人员、设备、材料、燃料、电力、消耗品、工具等必要条件的提供方：</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ACC9CB3">
      <w:pPr>
        <w:widowControl/>
        <w:spacing w:line="480" w:lineRule="exact"/>
        <w:ind w:firstLine="420" w:firstLineChars="200"/>
        <w:jc w:val="left"/>
        <w:rPr>
          <w:rFonts w:ascii="宋体" w:hAnsi="宋体" w:cs="宋体"/>
          <w:color w:val="auto"/>
          <w:kern w:val="0"/>
          <w:highlight w:val="none"/>
          <w:u w:val="single"/>
        </w:rPr>
      </w:pPr>
      <w:r>
        <w:rPr>
          <w:rFonts w:hint="eastAsia" w:ascii="宋体" w:hAnsi="宋体" w:cs="宋体"/>
          <w:color w:val="auto"/>
          <w:kern w:val="0"/>
          <w:szCs w:val="21"/>
          <w:highlight w:val="none"/>
        </w:rPr>
        <w:t>竣工试验费用的承担方：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bidi="ar"/>
        </w:rPr>
        <w:t xml:space="preserve">由承包人承担（如果有） </w:t>
      </w:r>
    </w:p>
    <w:p w14:paraId="517D5DD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9.1.3 </w:t>
      </w:r>
      <w:r>
        <w:rPr>
          <w:rFonts w:hint="eastAsia" w:ascii="宋体" w:hAnsi="宋体" w:cs="宋体"/>
          <w:color w:val="auto"/>
          <w:kern w:val="0"/>
          <w:szCs w:val="21"/>
          <w:highlight w:val="none"/>
        </w:rPr>
        <w:t>竣工试验的阶段、内容和顺序：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B28166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竣工试验的操作要求：</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48F4A83">
      <w:pPr>
        <w:widowControl/>
        <w:adjustRightInd w:val="0"/>
        <w:snapToGrid w:val="0"/>
        <w:spacing w:after="163" w:afterLines="50" w:line="360" w:lineRule="auto"/>
        <w:outlineLvl w:val="1"/>
        <w:rPr>
          <w:rFonts w:ascii="宋体" w:hAnsi="宋体" w:cs="Times"/>
          <w:color w:val="auto"/>
          <w:kern w:val="0"/>
          <w:highlight w:val="none"/>
        </w:rPr>
      </w:pPr>
      <w:bookmarkStart w:id="2660" w:name="_Toc4784273"/>
      <w:bookmarkEnd w:id="2660"/>
      <w:bookmarkStart w:id="2661" w:name="_Toc4784272"/>
      <w:bookmarkEnd w:id="2661"/>
      <w:bookmarkStart w:id="2662" w:name="_Toc20171883"/>
      <w:bookmarkEnd w:id="2662"/>
      <w:bookmarkStart w:id="2663" w:name="_Toc170932601"/>
      <w:bookmarkStart w:id="2664" w:name="_Toc84930870"/>
      <w:bookmarkStart w:id="2665" w:name="_Toc18031"/>
      <w:r>
        <w:rPr>
          <w:rFonts w:hint="eastAsia" w:ascii="宋体" w:hAnsi="宋体" w:cs="Times"/>
          <w:color w:val="auto"/>
          <w:kern w:val="0"/>
          <w:szCs w:val="21"/>
          <w:highlight w:val="none"/>
        </w:rPr>
        <w:t>第</w:t>
      </w:r>
      <w:r>
        <w:rPr>
          <w:rFonts w:ascii="宋体" w:hAnsi="宋体" w:cs="Times"/>
          <w:color w:val="auto"/>
          <w:kern w:val="0"/>
          <w:szCs w:val="21"/>
          <w:highlight w:val="none"/>
        </w:rPr>
        <w:t>10</w:t>
      </w:r>
      <w:r>
        <w:rPr>
          <w:rFonts w:hint="eastAsia" w:ascii="宋体" w:hAnsi="宋体" w:cs="Times"/>
          <w:color w:val="auto"/>
          <w:kern w:val="0"/>
          <w:szCs w:val="21"/>
          <w:highlight w:val="none"/>
        </w:rPr>
        <w:t>条验收和工程接收</w:t>
      </w:r>
      <w:bookmarkEnd w:id="2663"/>
      <w:bookmarkEnd w:id="2664"/>
      <w:bookmarkEnd w:id="2665"/>
    </w:p>
    <w:p w14:paraId="0A32644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10.1 </w:t>
      </w:r>
      <w:r>
        <w:rPr>
          <w:rFonts w:hint="eastAsia" w:ascii="宋体" w:hAnsi="宋体" w:cs="宋体"/>
          <w:color w:val="auto"/>
          <w:kern w:val="0"/>
          <w:szCs w:val="21"/>
          <w:highlight w:val="none"/>
        </w:rPr>
        <w:t>竣工验收</w:t>
      </w:r>
    </w:p>
    <w:p w14:paraId="3B2F1C8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10.1.2 </w:t>
      </w:r>
      <w:r>
        <w:rPr>
          <w:rFonts w:hint="eastAsia" w:ascii="宋体" w:hAnsi="宋体" w:cs="宋体"/>
          <w:color w:val="auto"/>
          <w:kern w:val="0"/>
          <w:szCs w:val="21"/>
          <w:highlight w:val="none"/>
        </w:rPr>
        <w:t>关于竣工验收程序的约定：</w:t>
      </w:r>
    </w:p>
    <w:p w14:paraId="3F36EA8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）发包人应在收到承包人报送的竣工验收申请报告后</w:t>
      </w:r>
      <w:r>
        <w:rPr>
          <w:rFonts w:ascii="宋体" w:hAnsi="宋体" w:cs="宋体"/>
          <w:color w:val="auto"/>
          <w:kern w:val="0"/>
          <w:szCs w:val="21"/>
          <w:highlight w:val="none"/>
        </w:rPr>
        <w:t>14</w:t>
      </w:r>
      <w:r>
        <w:rPr>
          <w:rFonts w:hint="eastAsia" w:ascii="宋体" w:hAnsi="宋体" w:cs="宋体"/>
          <w:color w:val="auto"/>
          <w:kern w:val="0"/>
          <w:szCs w:val="21"/>
          <w:highlight w:val="none"/>
        </w:rPr>
        <w:t>天内组织设计人、监理人、质监等其他部门进行验收，竣工日期以最后一次整改后通过竣工验收的时间为准。</w:t>
      </w:r>
    </w:p>
    <w:p w14:paraId="520402B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当工程具备竣工验收条件时，承包人应及时向发包人提交竣工验收申请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0C55106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发包人不按照合同约定组织竣工验收、颁发工程接受证书的违约金的计算方式：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BFEAAF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10.3 </w:t>
      </w:r>
      <w:r>
        <w:rPr>
          <w:rFonts w:hint="eastAsia" w:ascii="宋体" w:hAnsi="宋体" w:cs="宋体"/>
          <w:color w:val="auto"/>
          <w:kern w:val="0"/>
          <w:szCs w:val="21"/>
          <w:highlight w:val="none"/>
        </w:rPr>
        <w:t>工程的接收</w:t>
      </w:r>
    </w:p>
    <w:p w14:paraId="7504D1B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10.3.1 </w:t>
      </w:r>
      <w:r>
        <w:rPr>
          <w:rFonts w:hint="eastAsia" w:ascii="宋体" w:hAnsi="宋体" w:cs="宋体"/>
          <w:color w:val="auto"/>
          <w:kern w:val="0"/>
          <w:szCs w:val="21"/>
          <w:highlight w:val="none"/>
        </w:rPr>
        <w:t>工程接收的先后顺序：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6A388B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工程接收的时间安排：颁发工程接收证书后</w:t>
      </w:r>
      <w:r>
        <w:rPr>
          <w:rFonts w:ascii="宋体" w:hAnsi="宋体" w:cs="宋体"/>
          <w:color w:val="auto"/>
          <w:kern w:val="0"/>
          <w:szCs w:val="21"/>
          <w:highlight w:val="none"/>
        </w:rPr>
        <w:t>7</w:t>
      </w:r>
      <w:r>
        <w:rPr>
          <w:rFonts w:hint="eastAsia" w:ascii="宋体" w:hAnsi="宋体" w:cs="宋体"/>
          <w:color w:val="auto"/>
          <w:kern w:val="0"/>
          <w:szCs w:val="21"/>
          <w:highlight w:val="none"/>
        </w:rPr>
        <w:t>天内完成工程的接收。</w:t>
      </w:r>
    </w:p>
    <w:p w14:paraId="2B810831">
      <w:pPr>
        <w:widowControl/>
        <w:spacing w:line="480" w:lineRule="exact"/>
        <w:ind w:firstLine="420" w:firstLineChars="200"/>
        <w:jc w:val="left"/>
        <w:rPr>
          <w:color w:val="auto"/>
          <w:highlight w:val="none"/>
          <w:u w:val="single"/>
        </w:rPr>
      </w:pPr>
      <w:r>
        <w:rPr>
          <w:rFonts w:hint="eastAsia" w:ascii="宋体" w:hAnsi="宋体" w:cs="宋体"/>
          <w:color w:val="auto"/>
          <w:kern w:val="0"/>
          <w:szCs w:val="21"/>
          <w:highlight w:val="none"/>
        </w:rPr>
        <w:t>工程接收的其他要求：</w:t>
      </w:r>
      <w:r>
        <w:rPr>
          <w:rFonts w:hint="eastAsia" w:ascii="宋体" w:hAnsi="宋体" w:cs="宋体"/>
          <w:color w:val="auto"/>
          <w:kern w:val="0"/>
          <w:szCs w:val="21"/>
          <w:highlight w:val="none"/>
          <w:u w:val="single"/>
          <w:lang w:bidi="ar"/>
        </w:rPr>
        <w:t xml:space="preserve">按档案馆要求提交合格且完整的档案资料，同时提交完整的竣工结算资料 </w:t>
      </w:r>
    </w:p>
    <w:p w14:paraId="0760E351">
      <w:pPr>
        <w:widowControl/>
        <w:spacing w:line="480" w:lineRule="exact"/>
        <w:jc w:val="left"/>
        <w:rPr>
          <w:color w:val="auto"/>
          <w:highlight w:val="none"/>
          <w:u w:val="single"/>
        </w:rPr>
      </w:pPr>
      <w:r>
        <w:rPr>
          <w:rFonts w:hint="eastAsia" w:ascii="宋体" w:hAnsi="宋体" w:cs="宋体"/>
          <w:color w:val="auto"/>
          <w:kern w:val="0"/>
          <w:szCs w:val="21"/>
          <w:highlight w:val="none"/>
          <w:u w:val="single"/>
          <w:lang w:bidi="ar"/>
        </w:rPr>
        <w:t xml:space="preserve">（注：竣工结算资料提交后不接受再次补充，若因为竣工结算资料不完整导致内审或九龙坡财政局外审 </w:t>
      </w:r>
    </w:p>
    <w:p w14:paraId="1A34B170">
      <w:pPr>
        <w:widowControl/>
        <w:spacing w:line="480" w:lineRule="exact"/>
        <w:jc w:val="left"/>
        <w:rPr>
          <w:color w:val="auto"/>
          <w:highlight w:val="none"/>
          <w:u w:val="single"/>
        </w:rPr>
      </w:pPr>
      <w:r>
        <w:rPr>
          <w:rFonts w:hint="eastAsia" w:ascii="宋体" w:hAnsi="宋体" w:cs="宋体"/>
          <w:color w:val="auto"/>
          <w:kern w:val="0"/>
          <w:szCs w:val="21"/>
          <w:highlight w:val="none"/>
          <w:u w:val="single"/>
          <w:lang w:bidi="ar"/>
        </w:rPr>
        <w:t>或上级主管部门、单位审核时不予计量计价等后果由承包人自行承担） 。</w:t>
      </w:r>
    </w:p>
    <w:p w14:paraId="1ACD814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10.3.2</w:t>
      </w:r>
      <w:r>
        <w:rPr>
          <w:rFonts w:hint="eastAsia" w:ascii="宋体" w:hAnsi="宋体" w:cs="宋体"/>
          <w:color w:val="auto"/>
          <w:kern w:val="0"/>
          <w:szCs w:val="21"/>
          <w:highlight w:val="none"/>
        </w:rPr>
        <w:t>接收工程时承包人需提交竣工验收资料的类别、内容、份数和提交时间：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70810B2">
      <w:pPr>
        <w:widowControl/>
        <w:adjustRightInd w:val="0"/>
        <w:snapToGrid w:val="0"/>
        <w:spacing w:after="163" w:afterLines="50" w:line="480" w:lineRule="exact"/>
        <w:ind w:firstLine="420" w:firstLineChars="200"/>
        <w:rPr>
          <w:color w:val="auto"/>
          <w:highlight w:val="none"/>
        </w:rPr>
      </w:pPr>
      <w:r>
        <w:rPr>
          <w:rFonts w:ascii="宋体" w:hAnsi="宋体"/>
          <w:color w:val="auto"/>
          <w:highlight w:val="none"/>
        </w:rPr>
        <w:t>10.3.3</w:t>
      </w:r>
      <w:r>
        <w:rPr>
          <w:rFonts w:hint="eastAsia"/>
          <w:color w:val="auto"/>
          <w:highlight w:val="none"/>
        </w:rPr>
        <w:t>发包人逾期接收工程的违约责任：</w:t>
      </w:r>
      <w:r>
        <w:rPr>
          <w:rFonts w:hint="eastAsia" w:ascii="宋体" w:hAnsi="宋体" w:cs="宋体"/>
          <w:color w:val="auto"/>
          <w:kern w:val="0"/>
          <w:szCs w:val="21"/>
          <w:highlight w:val="none"/>
          <w:u w:val="single"/>
        </w:rPr>
        <w:t xml:space="preserve">    /   </w:t>
      </w:r>
      <w:r>
        <w:rPr>
          <w:rFonts w:hint="eastAsia"/>
          <w:color w:val="auto"/>
          <w:highlight w:val="none"/>
        </w:rPr>
        <w:t>。</w:t>
      </w:r>
    </w:p>
    <w:p w14:paraId="4FFBE89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10.3.4</w:t>
      </w:r>
      <w:r>
        <w:rPr>
          <w:rFonts w:hint="eastAsia" w:ascii="宋体" w:hAnsi="宋体" w:cs="宋体"/>
          <w:color w:val="auto"/>
          <w:kern w:val="0"/>
          <w:szCs w:val="21"/>
          <w:highlight w:val="none"/>
        </w:rPr>
        <w:t>承包人无正当理由不移交工程的违约责任：</w:t>
      </w:r>
      <w:r>
        <w:rPr>
          <w:rFonts w:hint="eastAsia" w:ascii="宋体" w:hAnsi="宋体" w:cs="宋体"/>
          <w:color w:val="auto"/>
          <w:kern w:val="0"/>
          <w:szCs w:val="21"/>
          <w:highlight w:val="none"/>
          <w:u w:val="single"/>
        </w:rPr>
        <w:t>承包人应承担工程照管、成品保护、保管等与工程有关的各项费用，并按经审定结算金额的</w:t>
      </w:r>
      <w:r>
        <w:rPr>
          <w:rFonts w:ascii="宋体" w:hAnsi="宋体" w:cs="宋体"/>
          <w:color w:val="auto"/>
          <w:kern w:val="0"/>
          <w:szCs w:val="21"/>
          <w:highlight w:val="none"/>
          <w:u w:val="single"/>
        </w:rPr>
        <w:t>0.5</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天支付违约金</w:t>
      </w:r>
      <w:r>
        <w:rPr>
          <w:rFonts w:hint="eastAsia" w:ascii="宋体" w:hAnsi="宋体" w:cs="宋体"/>
          <w:color w:val="auto"/>
          <w:kern w:val="0"/>
          <w:szCs w:val="21"/>
          <w:highlight w:val="none"/>
        </w:rPr>
        <w:t>。</w:t>
      </w:r>
    </w:p>
    <w:p w14:paraId="36F2A93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10.4 </w:t>
      </w:r>
      <w:r>
        <w:rPr>
          <w:rFonts w:hint="eastAsia" w:ascii="宋体" w:hAnsi="宋体" w:cs="宋体"/>
          <w:color w:val="auto"/>
          <w:kern w:val="0"/>
          <w:szCs w:val="21"/>
          <w:highlight w:val="none"/>
        </w:rPr>
        <w:t>接收证书</w:t>
      </w:r>
    </w:p>
    <w:p w14:paraId="3DDCCB1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10.4.1 </w:t>
      </w:r>
      <w:r>
        <w:rPr>
          <w:rFonts w:hint="eastAsia" w:ascii="宋体" w:hAnsi="宋体" w:cs="宋体"/>
          <w:color w:val="auto"/>
          <w:kern w:val="0"/>
          <w:szCs w:val="21"/>
          <w:highlight w:val="none"/>
        </w:rPr>
        <w:t>工程接收证书颁发时间：</w:t>
      </w:r>
      <w:r>
        <w:rPr>
          <w:rFonts w:hint="eastAsia" w:ascii="宋体" w:hAnsi="宋体" w:cs="宋体"/>
          <w:color w:val="auto"/>
          <w:kern w:val="0"/>
          <w:szCs w:val="21"/>
          <w:highlight w:val="none"/>
          <w:u w:val="single"/>
        </w:rPr>
        <w:t>发包人在竣工验收合格且工程具备接收条件后的28天内向承包人颁发工程接收证书</w:t>
      </w:r>
      <w:r>
        <w:rPr>
          <w:rFonts w:hint="eastAsia" w:ascii="宋体" w:hAnsi="宋体" w:cs="宋体"/>
          <w:color w:val="auto"/>
          <w:kern w:val="0"/>
          <w:szCs w:val="21"/>
          <w:highlight w:val="none"/>
        </w:rPr>
        <w:t>。</w:t>
      </w:r>
    </w:p>
    <w:p w14:paraId="4317B5D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10.5 </w:t>
      </w:r>
      <w:r>
        <w:rPr>
          <w:rFonts w:hint="eastAsia" w:ascii="宋体" w:hAnsi="宋体" w:cs="宋体"/>
          <w:color w:val="auto"/>
          <w:kern w:val="0"/>
          <w:szCs w:val="21"/>
          <w:highlight w:val="none"/>
        </w:rPr>
        <w:t>竣工退场</w:t>
      </w:r>
    </w:p>
    <w:p w14:paraId="0F3CD32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10.5.1 </w:t>
      </w:r>
      <w:r>
        <w:rPr>
          <w:rFonts w:hint="eastAsia" w:ascii="宋体" w:hAnsi="宋体" w:cs="宋体"/>
          <w:color w:val="auto"/>
          <w:kern w:val="0"/>
          <w:szCs w:val="21"/>
          <w:highlight w:val="none"/>
        </w:rPr>
        <w:t>竣工退场的相关约定：</w:t>
      </w:r>
      <w:r>
        <w:rPr>
          <w:rFonts w:hint="eastAsia" w:ascii="宋体" w:hAnsi="宋体" w:cs="宋体"/>
          <w:color w:val="auto"/>
          <w:kern w:val="0"/>
          <w:szCs w:val="21"/>
          <w:highlight w:val="none"/>
          <w:u w:val="single"/>
        </w:rPr>
        <w:t>工程接收证书颁发后</w:t>
      </w:r>
      <w:r>
        <w:rPr>
          <w:rFonts w:ascii="宋体" w:hAnsi="宋体" w:cs="宋体"/>
          <w:color w:val="auto"/>
          <w:kern w:val="0"/>
          <w:szCs w:val="21"/>
          <w:highlight w:val="none"/>
          <w:u w:val="single"/>
        </w:rPr>
        <w:t>28</w:t>
      </w:r>
      <w:r>
        <w:rPr>
          <w:rFonts w:hint="eastAsia" w:ascii="宋体" w:hAnsi="宋体" w:cs="宋体"/>
          <w:color w:val="auto"/>
          <w:kern w:val="0"/>
          <w:szCs w:val="21"/>
          <w:highlight w:val="none"/>
          <w:u w:val="single"/>
        </w:rPr>
        <w:t>天内，承包人的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w:t>
      </w:r>
      <w:r>
        <w:rPr>
          <w:rFonts w:ascii="宋体" w:hAnsi="宋体" w:cs="宋体"/>
          <w:color w:val="auto"/>
          <w:kern w:val="0"/>
          <w:szCs w:val="21"/>
          <w:highlight w:val="none"/>
          <w:u w:val="single"/>
        </w:rPr>
        <w:t>0.5</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天的标准向发包人支付违约金。因工程维修需要部分人员必须留在施工现场的，需征得发包人同意</w:t>
      </w:r>
      <w:r>
        <w:rPr>
          <w:rFonts w:hint="eastAsia" w:ascii="宋体" w:hAnsi="宋体" w:cs="宋体"/>
          <w:color w:val="auto"/>
          <w:kern w:val="0"/>
          <w:szCs w:val="21"/>
          <w:highlight w:val="none"/>
        </w:rPr>
        <w:t>。</w:t>
      </w:r>
    </w:p>
    <w:p w14:paraId="26BCE1B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10.5.3 </w:t>
      </w:r>
      <w:r>
        <w:rPr>
          <w:rFonts w:hint="eastAsia" w:ascii="宋体" w:hAnsi="宋体" w:cs="宋体"/>
          <w:color w:val="auto"/>
          <w:kern w:val="0"/>
          <w:szCs w:val="21"/>
          <w:highlight w:val="none"/>
        </w:rPr>
        <w:t>人员撤离</w:t>
      </w:r>
    </w:p>
    <w:p w14:paraId="630618D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监理人同意需在缺陷责任期内继续工作和使用的人员、施工设备和临时工程的内容：</w:t>
      </w:r>
      <w:r>
        <w:rPr>
          <w:rFonts w:hint="eastAsia" w:ascii="宋体" w:hAnsi="宋体" w:cs="宋体"/>
          <w:color w:val="auto"/>
          <w:kern w:val="0"/>
          <w:szCs w:val="21"/>
          <w:highlight w:val="none"/>
          <w:u w:val="single"/>
        </w:rPr>
        <w:t>承包人提交缺陷责任期内继续工作和使用的人员、设备和临时工程清单，征得发包人同意，未在清单内的人员和施工设备应全部撤离施工现场</w:t>
      </w:r>
      <w:r>
        <w:rPr>
          <w:rFonts w:hint="eastAsia" w:ascii="宋体" w:hAnsi="宋体" w:cs="宋体"/>
          <w:color w:val="auto"/>
          <w:kern w:val="0"/>
          <w:szCs w:val="21"/>
          <w:highlight w:val="none"/>
        </w:rPr>
        <w:t>。</w:t>
      </w:r>
    </w:p>
    <w:p w14:paraId="7B3044E6">
      <w:pPr>
        <w:widowControl/>
        <w:adjustRightInd w:val="0"/>
        <w:snapToGrid w:val="0"/>
        <w:spacing w:after="163" w:afterLines="50" w:line="480" w:lineRule="exact"/>
        <w:outlineLvl w:val="1"/>
        <w:rPr>
          <w:rFonts w:ascii="宋体" w:hAnsi="宋体" w:cs="Times"/>
          <w:color w:val="auto"/>
          <w:kern w:val="0"/>
          <w:highlight w:val="none"/>
        </w:rPr>
      </w:pPr>
      <w:bookmarkStart w:id="2666" w:name="_Toc20171884"/>
      <w:bookmarkEnd w:id="2666"/>
      <w:bookmarkStart w:id="2667" w:name="_Toc84930871"/>
      <w:bookmarkStart w:id="2668" w:name="_Toc170932602"/>
      <w:bookmarkStart w:id="2669" w:name="_Toc29509"/>
      <w:r>
        <w:rPr>
          <w:rFonts w:hint="eastAsia" w:ascii="宋体" w:hAnsi="宋体" w:cs="Times"/>
          <w:color w:val="auto"/>
          <w:kern w:val="0"/>
          <w:szCs w:val="21"/>
          <w:highlight w:val="none"/>
        </w:rPr>
        <w:t>第</w:t>
      </w:r>
      <w:r>
        <w:rPr>
          <w:rFonts w:ascii="宋体" w:hAnsi="宋体" w:cs="Times"/>
          <w:color w:val="auto"/>
          <w:kern w:val="0"/>
          <w:szCs w:val="21"/>
          <w:highlight w:val="none"/>
        </w:rPr>
        <w:t>11</w:t>
      </w:r>
      <w:r>
        <w:rPr>
          <w:rFonts w:hint="eastAsia" w:ascii="宋体" w:hAnsi="宋体" w:cs="Times"/>
          <w:color w:val="auto"/>
          <w:kern w:val="0"/>
          <w:szCs w:val="21"/>
          <w:highlight w:val="none"/>
        </w:rPr>
        <w:t>条缺陷责任与保修</w:t>
      </w:r>
      <w:bookmarkEnd w:id="2667"/>
      <w:bookmarkEnd w:id="2668"/>
      <w:bookmarkEnd w:id="2669"/>
    </w:p>
    <w:p w14:paraId="36E88B3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11.2 </w:t>
      </w:r>
      <w:r>
        <w:rPr>
          <w:rFonts w:hint="eastAsia" w:ascii="宋体" w:hAnsi="宋体" w:cs="宋体"/>
          <w:color w:val="auto"/>
          <w:kern w:val="0"/>
          <w:szCs w:val="21"/>
          <w:highlight w:val="none"/>
        </w:rPr>
        <w:t>缺陷责任期</w:t>
      </w:r>
    </w:p>
    <w:p w14:paraId="70B332F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缺陷责任期的期限：</w:t>
      </w:r>
      <w:r>
        <w:rPr>
          <w:rFonts w:hint="eastAsia" w:ascii="宋体" w:hAnsi="宋体" w:cs="宋体"/>
          <w:color w:val="auto"/>
          <w:kern w:val="0"/>
          <w:szCs w:val="21"/>
          <w:highlight w:val="none"/>
          <w:u w:val="single"/>
        </w:rPr>
        <w:t>工程完工验收合格之日起24个月</w:t>
      </w:r>
      <w:r>
        <w:rPr>
          <w:rFonts w:hint="eastAsia" w:ascii="宋体" w:hAnsi="宋体" w:cs="宋体"/>
          <w:color w:val="auto"/>
          <w:kern w:val="0"/>
          <w:szCs w:val="21"/>
          <w:highlight w:val="none"/>
        </w:rPr>
        <w:t>。</w:t>
      </w:r>
    </w:p>
    <w:p w14:paraId="7890D2D1">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缺陷调查</w:t>
      </w:r>
    </w:p>
    <w:p w14:paraId="0029D447">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11.3.4</w:t>
      </w:r>
      <w:r>
        <w:rPr>
          <w:rFonts w:hint="eastAsia" w:ascii="宋体" w:hAnsi="宋体" w:cs="宋体"/>
          <w:color w:val="auto"/>
          <w:kern w:val="0"/>
          <w:szCs w:val="21"/>
          <w:highlight w:val="none"/>
        </w:rPr>
        <w:t>修复通知</w:t>
      </w:r>
    </w:p>
    <w:p w14:paraId="567A7BF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承包人收到保修通知并到达工程现场的合理时间：24</w:t>
      </w:r>
      <w:r>
        <w:rPr>
          <w:rFonts w:hint="eastAsia" w:ascii="宋体" w:hAnsi="宋体" w:cs="宋体"/>
          <w:color w:val="auto"/>
          <w:kern w:val="0"/>
          <w:szCs w:val="21"/>
          <w:highlight w:val="none"/>
          <w:u w:val="single"/>
        </w:rPr>
        <w:t>小时内，最长不能超过48小时</w:t>
      </w:r>
      <w:r>
        <w:rPr>
          <w:rFonts w:hint="eastAsia" w:ascii="宋体" w:hAnsi="宋体" w:cs="宋体"/>
          <w:color w:val="auto"/>
          <w:kern w:val="0"/>
          <w:szCs w:val="21"/>
          <w:highlight w:val="none"/>
        </w:rPr>
        <w:t>。</w:t>
      </w:r>
    </w:p>
    <w:p w14:paraId="79621D6B">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11.6</w:t>
      </w:r>
      <w:r>
        <w:rPr>
          <w:rFonts w:hint="eastAsia" w:ascii="宋体" w:hAnsi="宋体" w:cs="宋体"/>
          <w:color w:val="auto"/>
          <w:kern w:val="0"/>
          <w:szCs w:val="21"/>
          <w:highlight w:val="none"/>
        </w:rPr>
        <w:t>缺陷责任期终止证书</w:t>
      </w:r>
    </w:p>
    <w:p w14:paraId="56C1178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应于缺陷责任期届满后14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28天内，向承包人颁发缺陷责任期终止证书。</w:t>
      </w:r>
    </w:p>
    <w:p w14:paraId="5D42542D">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11.7</w:t>
      </w:r>
      <w:r>
        <w:rPr>
          <w:rFonts w:hint="eastAsia" w:ascii="宋体" w:hAnsi="宋体" w:cs="宋体"/>
          <w:color w:val="auto"/>
          <w:kern w:val="0"/>
          <w:szCs w:val="21"/>
          <w:highlight w:val="none"/>
        </w:rPr>
        <w:t>保修责任</w:t>
      </w:r>
    </w:p>
    <w:p w14:paraId="3C09BA0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工程质量保修范围、期限和责任为：</w:t>
      </w:r>
      <w:r>
        <w:rPr>
          <w:rFonts w:hint="eastAsia" w:ascii="宋体" w:hAnsi="宋体" w:cs="宋体"/>
          <w:color w:val="auto"/>
          <w:kern w:val="0"/>
          <w:szCs w:val="21"/>
          <w:highlight w:val="none"/>
          <w:u w:val="single"/>
        </w:rPr>
        <w:t>按照合同附件</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《工程质量保修书》的规定执行</w:t>
      </w:r>
      <w:r>
        <w:rPr>
          <w:rFonts w:hint="eastAsia" w:ascii="宋体" w:hAnsi="宋体" w:cs="宋体"/>
          <w:color w:val="auto"/>
          <w:kern w:val="0"/>
          <w:szCs w:val="21"/>
          <w:highlight w:val="none"/>
        </w:rPr>
        <w:t>。</w:t>
      </w:r>
    </w:p>
    <w:p w14:paraId="0D7550E8">
      <w:pPr>
        <w:widowControl/>
        <w:adjustRightInd w:val="0"/>
        <w:snapToGrid w:val="0"/>
        <w:spacing w:after="163" w:afterLines="50" w:line="360" w:lineRule="auto"/>
        <w:outlineLvl w:val="1"/>
        <w:rPr>
          <w:rFonts w:ascii="宋体" w:hAnsi="宋体" w:cs="Times"/>
          <w:color w:val="auto"/>
          <w:kern w:val="0"/>
          <w:highlight w:val="none"/>
        </w:rPr>
      </w:pPr>
      <w:bookmarkStart w:id="2670" w:name="_Toc20171885"/>
      <w:bookmarkEnd w:id="2670"/>
      <w:bookmarkStart w:id="2671" w:name="_Toc84930872"/>
      <w:bookmarkStart w:id="2672" w:name="_Toc6622"/>
      <w:bookmarkStart w:id="2673" w:name="_Toc170932603"/>
      <w:r>
        <w:rPr>
          <w:rFonts w:hint="eastAsia" w:ascii="宋体" w:hAnsi="宋体" w:cs="Times"/>
          <w:color w:val="auto"/>
          <w:kern w:val="0"/>
          <w:szCs w:val="21"/>
          <w:highlight w:val="none"/>
        </w:rPr>
        <w:t>第</w:t>
      </w:r>
      <w:r>
        <w:rPr>
          <w:rFonts w:ascii="宋体" w:hAnsi="宋体" w:cs="Times"/>
          <w:color w:val="auto"/>
          <w:kern w:val="0"/>
          <w:szCs w:val="21"/>
          <w:highlight w:val="none"/>
        </w:rPr>
        <w:t>12</w:t>
      </w:r>
      <w:r>
        <w:rPr>
          <w:rFonts w:hint="eastAsia" w:ascii="宋体" w:hAnsi="宋体" w:cs="Times"/>
          <w:color w:val="auto"/>
          <w:kern w:val="0"/>
          <w:szCs w:val="21"/>
          <w:highlight w:val="none"/>
        </w:rPr>
        <w:t>条竣工后试验</w:t>
      </w:r>
      <w:bookmarkEnd w:id="2671"/>
      <w:bookmarkEnd w:id="2672"/>
      <w:bookmarkEnd w:id="2673"/>
    </w:p>
    <w:p w14:paraId="77C179B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本合同工程是否包含竣工后试验：</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2746996">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12.1 </w:t>
      </w:r>
      <w:r>
        <w:rPr>
          <w:rFonts w:hint="eastAsia" w:ascii="宋体" w:hAnsi="宋体" w:cs="宋体"/>
          <w:color w:val="auto"/>
          <w:kern w:val="0"/>
          <w:szCs w:val="21"/>
          <w:highlight w:val="none"/>
        </w:rPr>
        <w:t>竣工后试验的程序</w:t>
      </w:r>
    </w:p>
    <w:p w14:paraId="3ED3883F">
      <w:pPr>
        <w:widowControl/>
        <w:spacing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12.1.2</w:t>
      </w:r>
      <w:r>
        <w:rPr>
          <w:rFonts w:hint="eastAsia" w:ascii="宋体" w:hAnsi="宋体" w:cs="宋体"/>
          <w:color w:val="auto"/>
          <w:kern w:val="0"/>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bidi="ar"/>
        </w:rPr>
        <w:t>承包人提供（如果有）</w:t>
      </w:r>
      <w:r>
        <w:rPr>
          <w:rFonts w:hint="eastAsia" w:ascii="宋体" w:hAnsi="宋体" w:cs="宋体"/>
          <w:color w:val="auto"/>
          <w:kern w:val="0"/>
          <w:szCs w:val="21"/>
          <w:highlight w:val="none"/>
          <w:u w:val="single"/>
        </w:rPr>
        <w:t>。</w:t>
      </w:r>
      <w:bookmarkStart w:id="2674" w:name="_Toc20171886"/>
      <w:bookmarkEnd w:id="2674"/>
      <w:bookmarkStart w:id="2675" w:name="_Toc84930873"/>
    </w:p>
    <w:p w14:paraId="16F855B2">
      <w:pPr>
        <w:widowControl/>
        <w:adjustRightInd w:val="0"/>
        <w:snapToGrid w:val="0"/>
        <w:spacing w:after="163" w:afterLines="50" w:line="480" w:lineRule="exact"/>
        <w:ind w:firstLine="420" w:firstLineChars="200"/>
        <w:outlineLvl w:val="1"/>
        <w:rPr>
          <w:rFonts w:ascii="宋体" w:hAnsi="宋体" w:cs="Times"/>
          <w:color w:val="auto"/>
          <w:kern w:val="0"/>
          <w:highlight w:val="none"/>
        </w:rPr>
      </w:pPr>
      <w:bookmarkStart w:id="2676" w:name="_Toc170932604"/>
      <w:bookmarkStart w:id="2677" w:name="_Toc26484"/>
      <w:r>
        <w:rPr>
          <w:rFonts w:hint="eastAsia" w:ascii="宋体" w:hAnsi="宋体" w:cs="Times"/>
          <w:color w:val="auto"/>
          <w:kern w:val="0"/>
          <w:szCs w:val="21"/>
          <w:highlight w:val="none"/>
        </w:rPr>
        <w:t>第</w:t>
      </w:r>
      <w:r>
        <w:rPr>
          <w:rFonts w:ascii="宋体" w:hAnsi="宋体" w:cs="Times"/>
          <w:color w:val="auto"/>
          <w:kern w:val="0"/>
          <w:szCs w:val="21"/>
          <w:highlight w:val="none"/>
        </w:rPr>
        <w:t>13</w:t>
      </w:r>
      <w:r>
        <w:rPr>
          <w:rFonts w:hint="eastAsia" w:ascii="宋体" w:hAnsi="宋体" w:cs="Times"/>
          <w:color w:val="auto"/>
          <w:kern w:val="0"/>
          <w:szCs w:val="21"/>
          <w:highlight w:val="none"/>
        </w:rPr>
        <w:t>条变更与调整</w:t>
      </w:r>
      <w:bookmarkEnd w:id="2675"/>
      <w:bookmarkEnd w:id="2676"/>
      <w:bookmarkEnd w:id="2677"/>
    </w:p>
    <w:p w14:paraId="4373F1F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13.2 </w:t>
      </w:r>
      <w:r>
        <w:rPr>
          <w:rFonts w:hint="eastAsia" w:ascii="宋体" w:hAnsi="宋体" w:cs="宋体"/>
          <w:color w:val="auto"/>
          <w:kern w:val="0"/>
          <w:szCs w:val="21"/>
          <w:highlight w:val="none"/>
        </w:rPr>
        <w:t>承包人的合理化建议</w:t>
      </w:r>
    </w:p>
    <w:p w14:paraId="7D61DE14">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13.2.1</w:t>
      </w:r>
      <w:r>
        <w:rPr>
          <w:rFonts w:hint="eastAsia" w:ascii="宋体" w:hAnsi="宋体" w:cs="宋体"/>
          <w:color w:val="auto"/>
          <w:kern w:val="0"/>
          <w:szCs w:val="21"/>
          <w:highlight w:val="none"/>
        </w:rPr>
        <w:t>承包人可以以单位名义向发包人提交书面合理化建议，详细说明建议的内容、理由，以及该建议对项目的工期、投资、质量、安全、运营管理、生态环境等的影响，客观反映项目合同变更的必要性和可行性，包括：</w:t>
      </w:r>
      <w:r>
        <w:rPr>
          <w:rFonts w:hint="eastAsia" w:ascii="宋体" w:hAnsi="宋体" w:cs="宋体"/>
          <w:color w:val="auto"/>
          <w:kern w:val="0"/>
          <w:szCs w:val="21"/>
          <w:highlight w:val="none"/>
          <w:u w:val="single"/>
        </w:rPr>
        <w:t>缩短工期，降低发包人的工程、施工、维护、营运的费用，提高竣工工程的效率或价值，给发包人带来的长远利益和其他利益。发包人接到此类建议后，可以选择：不采纳</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采纳</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要求补充进一步资料的书面通知</w:t>
      </w:r>
      <w:r>
        <w:rPr>
          <w:rFonts w:hint="eastAsia" w:ascii="宋体" w:hAnsi="宋体" w:cs="宋体"/>
          <w:color w:val="auto"/>
          <w:kern w:val="0"/>
          <w:szCs w:val="21"/>
          <w:highlight w:val="none"/>
        </w:rPr>
        <w:t>。</w:t>
      </w:r>
    </w:p>
    <w:p w14:paraId="6FFF3348">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如果发包人对承包人已实施的项目在发出重大设计变更之前要求承包人提出一份建议，那么，承包人应尽快提出：</w:t>
      </w:r>
    </w:p>
    <w:p w14:paraId="52E48509">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）对所提方案和（或）待做工作及其实施计划的说明；</w:t>
      </w:r>
    </w:p>
    <w:p w14:paraId="4656A84D">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）承包人按照对工程进度计划进行必要修改的建议；</w:t>
      </w:r>
    </w:p>
    <w:p w14:paraId="080C2A89">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）承包人发生较大返工损失增加费用的建议。</w:t>
      </w:r>
    </w:p>
    <w:p w14:paraId="35DD345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发包人在收到上述建议书后，应尽快给予批准、否决或提出意见。</w:t>
      </w:r>
    </w:p>
    <w:p w14:paraId="2E1622B9">
      <w:pPr>
        <w:widowControl/>
        <w:spacing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13.2.2</w:t>
      </w:r>
      <w:r>
        <w:rPr>
          <w:rFonts w:hint="eastAsia" w:ascii="宋体" w:hAnsi="宋体" w:cs="宋体"/>
          <w:color w:val="auto"/>
          <w:kern w:val="0"/>
          <w:szCs w:val="21"/>
          <w:highlight w:val="none"/>
        </w:rPr>
        <w:t>监理人应在收到承包人提交的合理化建议后7日内审查完毕并报送发包人，发现其中存在技术上的缺陷，应通知承包人修改。发包人应在收到监理人报送的合理化建议后7日内审批完毕。合理化建议经发包人批准的，监理人应及时发出变更指示，由此引起的合同价格调整按照</w:t>
      </w:r>
      <w:r>
        <w:rPr>
          <w:rFonts w:hint="eastAsia" w:ascii="宋体" w:hAnsi="宋体" w:cs="宋体"/>
          <w:color w:val="auto"/>
          <w:kern w:val="0"/>
          <w:szCs w:val="21"/>
          <w:highlight w:val="none"/>
          <w:u w:val="single"/>
          <w:lang w:bidi="ar"/>
        </w:rPr>
        <w:t>合同专用条款 13.3.3 变更估价</w:t>
      </w:r>
      <w:r>
        <w:rPr>
          <w:rFonts w:hint="eastAsia" w:ascii="宋体" w:hAnsi="宋体" w:cs="宋体"/>
          <w:color w:val="auto"/>
          <w:kern w:val="0"/>
          <w:szCs w:val="21"/>
          <w:highlight w:val="none"/>
        </w:rPr>
        <w:t>执行。发包人不同意变更的，监理人应书面通知承包人。</w:t>
      </w:r>
    </w:p>
    <w:p w14:paraId="76CA493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13.2.3</w:t>
      </w:r>
      <w:r>
        <w:rPr>
          <w:rFonts w:hint="eastAsia" w:ascii="宋体" w:hAnsi="宋体" w:cs="宋体"/>
          <w:color w:val="auto"/>
          <w:kern w:val="0"/>
          <w:szCs w:val="21"/>
          <w:highlight w:val="none"/>
        </w:rPr>
        <w:t>承包人提出的合理化变更建议的利益分享约定：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rPr>
        <w:t>。</w:t>
      </w:r>
    </w:p>
    <w:p w14:paraId="76A8DAB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13.3 </w:t>
      </w:r>
      <w:r>
        <w:rPr>
          <w:rFonts w:hint="eastAsia" w:ascii="宋体" w:hAnsi="宋体" w:cs="宋体"/>
          <w:color w:val="auto"/>
          <w:kern w:val="0"/>
          <w:szCs w:val="21"/>
          <w:highlight w:val="none"/>
        </w:rPr>
        <w:t>变更程序</w:t>
      </w:r>
    </w:p>
    <w:p w14:paraId="36D76AE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13.3.2 </w:t>
      </w:r>
      <w:r>
        <w:rPr>
          <w:rFonts w:hint="eastAsia" w:ascii="宋体" w:hAnsi="宋体" w:cs="宋体"/>
          <w:color w:val="auto"/>
          <w:kern w:val="0"/>
          <w:szCs w:val="21"/>
          <w:highlight w:val="none"/>
        </w:rPr>
        <w:t>变更执行</w:t>
      </w:r>
    </w:p>
    <w:p w14:paraId="6975984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本项增加</w:t>
      </w:r>
      <w:r>
        <w:rPr>
          <w:rFonts w:ascii="宋体" w:hAnsi="宋体" w:cs="宋体"/>
          <w:color w:val="auto"/>
          <w:kern w:val="0"/>
          <w:szCs w:val="21"/>
          <w:highlight w:val="none"/>
        </w:rPr>
        <w:t>13.3.2.1</w:t>
      </w:r>
      <w:r>
        <w:rPr>
          <w:rFonts w:hint="eastAsia" w:ascii="宋体" w:hAnsi="宋体" w:cs="宋体"/>
          <w:color w:val="auto"/>
          <w:kern w:val="0"/>
          <w:szCs w:val="21"/>
          <w:highlight w:val="none"/>
        </w:rPr>
        <w:t>～</w:t>
      </w:r>
      <w:r>
        <w:rPr>
          <w:rFonts w:ascii="宋体" w:hAnsi="宋体" w:cs="宋体"/>
          <w:color w:val="auto"/>
          <w:kern w:val="0"/>
          <w:szCs w:val="21"/>
          <w:highlight w:val="none"/>
        </w:rPr>
        <w:t>13.3.2.7</w:t>
      </w:r>
      <w:r>
        <w:rPr>
          <w:rFonts w:hint="eastAsia" w:ascii="宋体" w:hAnsi="宋体" w:cs="宋体"/>
          <w:color w:val="auto"/>
          <w:kern w:val="0"/>
          <w:szCs w:val="21"/>
          <w:highlight w:val="none"/>
        </w:rPr>
        <w:t>目：</w:t>
      </w:r>
    </w:p>
    <w:p w14:paraId="0E893B14">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13.3.2.1</w:t>
      </w:r>
      <w:r>
        <w:rPr>
          <w:rFonts w:hint="eastAsia" w:ascii="宋体" w:hAnsi="宋体" w:cs="宋体"/>
          <w:color w:val="auto"/>
          <w:kern w:val="0"/>
          <w:szCs w:val="21"/>
          <w:highlight w:val="none"/>
        </w:rPr>
        <w:t>一般设计变更和重大设计变更</w:t>
      </w:r>
    </w:p>
    <w:p w14:paraId="33B810C6">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一般设计变更：承包人收到监理人下达的变更指示后，应按照监理人下达的变更指示执行，并书面说明实施该变更指示对合同工期的影响，合同价格调整按照第</w:t>
      </w:r>
      <w:r>
        <w:rPr>
          <w:rFonts w:ascii="宋体" w:hAnsi="宋体" w:cs="宋体"/>
          <w:color w:val="auto"/>
          <w:kern w:val="0"/>
          <w:szCs w:val="21"/>
          <w:highlight w:val="none"/>
        </w:rPr>
        <w:t>13.3.3.1</w:t>
      </w:r>
      <w:r>
        <w:rPr>
          <w:rFonts w:hint="eastAsia" w:ascii="宋体" w:hAnsi="宋体" w:cs="宋体"/>
          <w:color w:val="auto"/>
          <w:kern w:val="0"/>
          <w:szCs w:val="21"/>
          <w:highlight w:val="none"/>
        </w:rPr>
        <w:t>目</w:t>
      </w:r>
      <w:r>
        <w:rPr>
          <w:rFonts w:ascii="宋体" w:hAnsi="宋体" w:cs="宋体"/>
          <w:color w:val="auto"/>
          <w:kern w:val="0"/>
          <w:szCs w:val="21"/>
          <w:highlight w:val="none"/>
        </w:rPr>
        <w:t>[</w:t>
      </w:r>
      <w:r>
        <w:rPr>
          <w:rFonts w:hint="eastAsia" w:ascii="宋体" w:hAnsi="宋体" w:cs="宋体"/>
          <w:color w:val="auto"/>
          <w:kern w:val="0"/>
          <w:szCs w:val="21"/>
          <w:highlight w:val="none"/>
        </w:rPr>
        <w:t>变更估价原则</w:t>
      </w:r>
      <w:r>
        <w:rPr>
          <w:rFonts w:ascii="宋体" w:hAnsi="宋体" w:cs="宋体"/>
          <w:color w:val="auto"/>
          <w:kern w:val="0"/>
          <w:szCs w:val="21"/>
          <w:highlight w:val="none"/>
        </w:rPr>
        <w:t>]</w:t>
      </w:r>
      <w:r>
        <w:rPr>
          <w:rFonts w:hint="eastAsia" w:ascii="宋体" w:hAnsi="宋体" w:cs="宋体"/>
          <w:color w:val="auto"/>
          <w:kern w:val="0"/>
          <w:szCs w:val="21"/>
          <w:highlight w:val="none"/>
        </w:rPr>
        <w:t>约定执行。</w:t>
      </w:r>
    </w:p>
    <w:p w14:paraId="55B31D10">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重大设计变更：需经设计人、监理人和发包人三方签名认可并报原施工图审查机构审查，审查合格后由发包人报具有管理权限的城乡建设主管部门审查备案后实施。合同价格调整按照第</w:t>
      </w:r>
      <w:r>
        <w:rPr>
          <w:rFonts w:ascii="宋体" w:hAnsi="宋体" w:cs="宋体"/>
          <w:color w:val="auto"/>
          <w:kern w:val="0"/>
          <w:szCs w:val="21"/>
          <w:highlight w:val="none"/>
        </w:rPr>
        <w:t>13.3.3.1</w:t>
      </w:r>
      <w:r>
        <w:rPr>
          <w:rFonts w:hint="eastAsia" w:ascii="宋体" w:hAnsi="宋体" w:cs="宋体"/>
          <w:color w:val="auto"/>
          <w:kern w:val="0"/>
          <w:szCs w:val="21"/>
          <w:highlight w:val="none"/>
        </w:rPr>
        <w:t>目</w:t>
      </w:r>
      <w:r>
        <w:rPr>
          <w:rFonts w:ascii="宋体" w:hAnsi="宋体" w:cs="宋体"/>
          <w:color w:val="auto"/>
          <w:kern w:val="0"/>
          <w:szCs w:val="21"/>
          <w:highlight w:val="none"/>
        </w:rPr>
        <w:t>[</w:t>
      </w:r>
      <w:r>
        <w:rPr>
          <w:rFonts w:hint="eastAsia" w:ascii="宋体" w:hAnsi="宋体" w:cs="宋体"/>
          <w:color w:val="auto"/>
          <w:kern w:val="0"/>
          <w:szCs w:val="21"/>
          <w:highlight w:val="none"/>
        </w:rPr>
        <w:t>变更估价原则</w:t>
      </w:r>
      <w:r>
        <w:rPr>
          <w:rFonts w:ascii="宋体" w:hAnsi="宋体" w:cs="宋体"/>
          <w:color w:val="auto"/>
          <w:kern w:val="0"/>
          <w:szCs w:val="21"/>
          <w:highlight w:val="none"/>
        </w:rPr>
        <w:t>]</w:t>
      </w:r>
      <w:r>
        <w:rPr>
          <w:rFonts w:hint="eastAsia" w:ascii="宋体" w:hAnsi="宋体" w:cs="宋体"/>
          <w:color w:val="auto"/>
          <w:kern w:val="0"/>
          <w:szCs w:val="21"/>
          <w:highlight w:val="none"/>
        </w:rPr>
        <w:t>约定执行。</w:t>
      </w:r>
    </w:p>
    <w:p w14:paraId="7616F6A3">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13.3.2.2</w:t>
      </w:r>
      <w:r>
        <w:rPr>
          <w:rFonts w:hint="eastAsia" w:ascii="宋体" w:hAnsi="宋体" w:cs="宋体"/>
          <w:color w:val="auto"/>
          <w:kern w:val="0"/>
          <w:szCs w:val="21"/>
          <w:highlight w:val="none"/>
        </w:rPr>
        <w:t>合同变更提出后，应当首先由发包人组织相关单位或专家进行论证。经论证确需变更的，发包人按照</w:t>
      </w:r>
      <w:r>
        <w:rPr>
          <w:rFonts w:hint="eastAsia" w:ascii="宋体" w:hAnsi="宋体" w:cs="宋体"/>
          <w:color w:val="auto"/>
          <w:kern w:val="0"/>
          <w:szCs w:val="21"/>
          <w:highlight w:val="none"/>
          <w:lang w:bidi="ar"/>
        </w:rPr>
        <w:t>《重庆市政府投资项目合同变更管理暂行办法》和</w:t>
      </w:r>
      <w:r>
        <w:rPr>
          <w:rFonts w:hint="eastAsia" w:ascii="宋体" w:hAnsi="宋体" w:cs="宋体"/>
          <w:color w:val="auto"/>
          <w:kern w:val="0"/>
          <w:szCs w:val="21"/>
          <w:highlight w:val="none"/>
        </w:rPr>
        <w:t>《重庆市九龙坡区政府投资项目管理实施细则（试行）》九龙坡府发〔2021〕2号文件规定的程序自行决策或者报批；经论证不需要变更的，继续按合同执行。</w:t>
      </w:r>
    </w:p>
    <w:p w14:paraId="41EC09E4">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13.3.2.3</w:t>
      </w:r>
      <w:r>
        <w:rPr>
          <w:rFonts w:hint="eastAsia" w:ascii="宋体" w:hAnsi="宋体" w:cs="宋体"/>
          <w:color w:val="auto"/>
          <w:kern w:val="0"/>
          <w:szCs w:val="21"/>
          <w:highlight w:val="none"/>
        </w:rPr>
        <w:t>项目的施工图设计、实施内容等作重大设计变更的，应当按照规定的程序报原审查备案部门审核确认及备案；变更导致总投资超概的，应当报原投资概算核定部门核定。</w:t>
      </w:r>
    </w:p>
    <w:p w14:paraId="19CB15CF">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13.3.2.4</w:t>
      </w:r>
      <w:r>
        <w:rPr>
          <w:rFonts w:hint="eastAsia" w:ascii="宋体" w:hAnsi="宋体" w:cs="宋体"/>
          <w:color w:val="auto"/>
          <w:kern w:val="0"/>
          <w:szCs w:val="21"/>
          <w:highlight w:val="none"/>
        </w:rPr>
        <w:t>项目管理人员变更的，应当经发包人同意，并将变更信息推送给行业主管部门。变更后的项目管理人员应当符合比选文件和行业主管部门的相关规定。</w:t>
      </w:r>
    </w:p>
    <w:p w14:paraId="598C9562">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13.3.2.5</w:t>
      </w:r>
      <w:r>
        <w:rPr>
          <w:rFonts w:hint="eastAsia" w:ascii="宋体" w:hAnsi="宋体" w:cs="宋体"/>
          <w:color w:val="auto"/>
          <w:kern w:val="0"/>
          <w:szCs w:val="21"/>
          <w:highlight w:val="none"/>
        </w:rPr>
        <w:t>因人工、原材料市场价格发生大幅度变化导致的合同总价变更，由发包人与承包人按照合同进行变更，并将变更信息推送给行业主管部门。</w:t>
      </w:r>
    </w:p>
    <w:p w14:paraId="518E9711">
      <w:pPr>
        <w:widowControl/>
        <w:autoSpaceDE w:val="0"/>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13.3.2.6</w:t>
      </w:r>
      <w:r>
        <w:rPr>
          <w:rFonts w:hint="eastAsia" w:ascii="宋体" w:hAnsi="宋体" w:cs="宋体"/>
          <w:color w:val="auto"/>
          <w:kern w:val="0"/>
          <w:szCs w:val="21"/>
          <w:highlight w:val="none"/>
        </w:rPr>
        <w:t>项目实施内容无变更，因不可抗力导致的工期变更，由发包人同意，并将变更信息推送给行业主管部门；因项目实施内容变更导致的工期变更，与项目实施内容变更一并办理。</w:t>
      </w:r>
    </w:p>
    <w:p w14:paraId="618138F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13.3.2.7</w:t>
      </w:r>
      <w:r>
        <w:rPr>
          <w:rFonts w:hint="eastAsia" w:ascii="宋体" w:hAnsi="宋体" w:cs="宋体"/>
          <w:color w:val="auto"/>
          <w:kern w:val="0"/>
          <w:szCs w:val="21"/>
          <w:highlight w:val="none"/>
        </w:rPr>
        <w:t>项目合同变更后，增加的实施内容达到依法必须招标的规模标准的，增加的部分应当依法通过招标选择承包单位。</w:t>
      </w:r>
    </w:p>
    <w:p w14:paraId="42805B8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13.3.3 </w:t>
      </w:r>
      <w:r>
        <w:rPr>
          <w:rFonts w:hint="eastAsia" w:ascii="宋体" w:hAnsi="宋体" w:cs="宋体"/>
          <w:color w:val="auto"/>
          <w:kern w:val="0"/>
          <w:szCs w:val="21"/>
          <w:highlight w:val="none"/>
        </w:rPr>
        <w:t>变更估价</w:t>
      </w:r>
    </w:p>
    <w:p w14:paraId="5D915334">
      <w:pPr>
        <w:widowControl/>
        <w:adjustRightInd w:val="0"/>
        <w:snapToGrid w:val="0"/>
        <w:spacing w:after="163" w:afterLines="50" w:line="480" w:lineRule="exact"/>
        <w:ind w:firstLine="420" w:firstLineChars="200"/>
        <w:rPr>
          <w:rFonts w:ascii="宋体" w:hAnsi="宋体" w:cs="宋体"/>
          <w:color w:val="auto"/>
          <w:highlight w:val="none"/>
        </w:rPr>
      </w:pPr>
      <w:r>
        <w:rPr>
          <w:rFonts w:ascii="宋体" w:hAnsi="宋体" w:cs="宋体"/>
          <w:color w:val="auto"/>
          <w:kern w:val="0"/>
          <w:szCs w:val="21"/>
          <w:highlight w:val="none"/>
        </w:rPr>
        <w:t>13.3.3.1</w:t>
      </w:r>
      <w:r>
        <w:rPr>
          <w:rFonts w:hint="eastAsia" w:ascii="宋体" w:hAnsi="宋体" w:cs="宋体"/>
          <w:color w:val="auto"/>
          <w:szCs w:val="21"/>
          <w:highlight w:val="none"/>
        </w:rPr>
        <w:t>变更估价原则</w:t>
      </w:r>
    </w:p>
    <w:p w14:paraId="648C7968">
      <w:pPr>
        <w:widowControl/>
        <w:spacing w:line="480" w:lineRule="exact"/>
        <w:jc w:val="left"/>
        <w:rPr>
          <w:color w:val="auto"/>
          <w:highlight w:val="none"/>
        </w:rPr>
      </w:pPr>
      <w:r>
        <w:rPr>
          <w:rFonts w:hint="eastAsia" w:ascii="宋体" w:hAnsi="宋体" w:cs="宋体"/>
          <w:color w:val="auto"/>
          <w:kern w:val="0"/>
          <w:szCs w:val="21"/>
          <w:highlight w:val="none"/>
          <w:lang w:bidi="ar"/>
        </w:rPr>
        <w:t>当发生重大设计变更时，承包人比选申请报价中没有的，由承包人申报，监理人会同跟审单位、发包人根据市场行情认质核价确定。变更部分的工程量按</w:t>
      </w:r>
      <w:r>
        <w:rPr>
          <w:rFonts w:hint="eastAsia" w:ascii="宋体" w:hAnsi="宋体" w:cs="宋体"/>
          <w:color w:val="auto"/>
          <w:kern w:val="0"/>
          <w:szCs w:val="21"/>
          <w:highlight w:val="none"/>
          <w:u w:val="single"/>
          <w:lang w:bidi="ar"/>
        </w:rPr>
        <w:t xml:space="preserve"> C </w:t>
      </w:r>
      <w:r>
        <w:rPr>
          <w:rFonts w:hint="eastAsia" w:ascii="宋体" w:hAnsi="宋体" w:cs="宋体"/>
          <w:color w:val="auto"/>
          <w:kern w:val="0"/>
          <w:szCs w:val="21"/>
          <w:highlight w:val="none"/>
          <w:lang w:bidi="ar"/>
        </w:rPr>
        <w:t>规 定的计算规则计量，按以下办法计价：</w:t>
      </w:r>
    </w:p>
    <w:p w14:paraId="548A5591">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按《重庆市房屋建筑与装饰工程计价定额》（</w:t>
      </w:r>
      <w:r>
        <w:rPr>
          <w:rFonts w:ascii="宋体" w:hAnsi="宋体" w:cs="宋体"/>
          <w:color w:val="auto"/>
          <w:kern w:val="0"/>
          <w:szCs w:val="21"/>
          <w:highlight w:val="none"/>
        </w:rPr>
        <w:t>CQJZZSDE-2018</w:t>
      </w:r>
      <w:r>
        <w:rPr>
          <w:rFonts w:hint="eastAsia" w:ascii="宋体" w:hAnsi="宋体" w:cs="宋体"/>
          <w:color w:val="auto"/>
          <w:kern w:val="0"/>
          <w:szCs w:val="21"/>
          <w:highlight w:val="none"/>
        </w:rPr>
        <w:t>）、《重庆市仿古建筑工程计价定额》（</w:t>
      </w:r>
      <w:r>
        <w:rPr>
          <w:rFonts w:ascii="宋体" w:hAnsi="宋体" w:cs="宋体"/>
          <w:color w:val="auto"/>
          <w:kern w:val="0"/>
          <w:szCs w:val="21"/>
          <w:highlight w:val="none"/>
        </w:rPr>
        <w:t>CQFGDE-2018</w:t>
      </w:r>
      <w:r>
        <w:rPr>
          <w:rFonts w:hint="eastAsia" w:ascii="宋体" w:hAnsi="宋体" w:cs="宋体"/>
          <w:color w:val="auto"/>
          <w:kern w:val="0"/>
          <w:szCs w:val="21"/>
          <w:highlight w:val="none"/>
        </w:rPr>
        <w:t>）、《重庆市通用安装工程计价定额》（</w:t>
      </w:r>
      <w:r>
        <w:rPr>
          <w:rFonts w:ascii="宋体" w:hAnsi="宋体" w:cs="宋体"/>
          <w:color w:val="auto"/>
          <w:kern w:val="0"/>
          <w:szCs w:val="21"/>
          <w:highlight w:val="none"/>
        </w:rPr>
        <w:t>CQAZDE-2018</w:t>
      </w:r>
      <w:r>
        <w:rPr>
          <w:rFonts w:hint="eastAsia" w:ascii="宋体" w:hAnsi="宋体" w:cs="宋体"/>
          <w:color w:val="auto"/>
          <w:kern w:val="0"/>
          <w:szCs w:val="21"/>
          <w:highlight w:val="none"/>
        </w:rPr>
        <w:t>）、《重庆市市政工程计价定额》（</w:t>
      </w:r>
      <w:r>
        <w:rPr>
          <w:rFonts w:ascii="宋体" w:hAnsi="宋体" w:cs="宋体"/>
          <w:color w:val="auto"/>
          <w:kern w:val="0"/>
          <w:szCs w:val="21"/>
          <w:highlight w:val="none"/>
        </w:rPr>
        <w:t>CQSZDE-2018</w:t>
      </w:r>
      <w:r>
        <w:rPr>
          <w:rFonts w:hint="eastAsia" w:ascii="宋体" w:hAnsi="宋体" w:cs="宋体"/>
          <w:color w:val="auto"/>
          <w:kern w:val="0"/>
          <w:szCs w:val="21"/>
          <w:highlight w:val="none"/>
        </w:rPr>
        <w:t>）、《重庆市园林绿化工程计价定额》（</w:t>
      </w:r>
      <w:r>
        <w:rPr>
          <w:rFonts w:ascii="宋体" w:hAnsi="宋体" w:cs="宋体"/>
          <w:color w:val="auto"/>
          <w:kern w:val="0"/>
          <w:szCs w:val="21"/>
          <w:highlight w:val="none"/>
        </w:rPr>
        <w:t>CQYLLHDE-2018</w:t>
      </w:r>
      <w:r>
        <w:rPr>
          <w:rFonts w:hint="eastAsia" w:ascii="宋体" w:hAnsi="宋体" w:cs="宋体"/>
          <w:color w:val="auto"/>
          <w:kern w:val="0"/>
          <w:szCs w:val="21"/>
          <w:highlight w:val="none"/>
        </w:rPr>
        <w:t>）、《重庆市构筑物工程计价定额》（</w:t>
      </w:r>
      <w:r>
        <w:rPr>
          <w:rFonts w:ascii="宋体" w:hAnsi="宋体" w:cs="宋体"/>
          <w:color w:val="auto"/>
          <w:kern w:val="0"/>
          <w:szCs w:val="21"/>
          <w:highlight w:val="none"/>
        </w:rPr>
        <w:t>CQGZWDE-2018</w:t>
      </w:r>
      <w:r>
        <w:rPr>
          <w:rFonts w:hint="eastAsia" w:ascii="宋体" w:hAnsi="宋体" w:cs="宋体"/>
          <w:color w:val="auto"/>
          <w:kern w:val="0"/>
          <w:szCs w:val="21"/>
          <w:highlight w:val="none"/>
        </w:rPr>
        <w:t>）、《重庆市城市轨道交通工程计价定额》（</w:t>
      </w:r>
      <w:r>
        <w:rPr>
          <w:rFonts w:ascii="宋体" w:hAnsi="宋体" w:cs="宋体"/>
          <w:color w:val="auto"/>
          <w:kern w:val="0"/>
          <w:szCs w:val="21"/>
          <w:highlight w:val="none"/>
        </w:rPr>
        <w:t>CQGDDE-2018</w:t>
      </w:r>
      <w:r>
        <w:rPr>
          <w:rFonts w:hint="eastAsia" w:ascii="宋体" w:hAnsi="宋体" w:cs="宋体"/>
          <w:color w:val="auto"/>
          <w:kern w:val="0"/>
          <w:szCs w:val="21"/>
          <w:highlight w:val="none"/>
        </w:rPr>
        <w:t>）、《重庆市爆破工程计价定额》（</w:t>
      </w:r>
      <w:r>
        <w:rPr>
          <w:rFonts w:ascii="宋体" w:hAnsi="宋体" w:cs="宋体"/>
          <w:color w:val="auto"/>
          <w:kern w:val="0"/>
          <w:szCs w:val="21"/>
          <w:highlight w:val="none"/>
        </w:rPr>
        <w:t>CQBPDE-2018</w:t>
      </w:r>
      <w:r>
        <w:rPr>
          <w:rFonts w:hint="eastAsia" w:ascii="宋体" w:hAnsi="宋体" w:cs="宋体"/>
          <w:color w:val="auto"/>
          <w:kern w:val="0"/>
          <w:szCs w:val="21"/>
          <w:highlight w:val="none"/>
        </w:rPr>
        <w:t>）、《重庆市房屋修缮工程计价定额》（</w:t>
      </w:r>
      <w:r>
        <w:rPr>
          <w:rFonts w:ascii="宋体" w:hAnsi="宋体" w:cs="宋体"/>
          <w:color w:val="auto"/>
          <w:kern w:val="0"/>
          <w:szCs w:val="21"/>
          <w:highlight w:val="none"/>
        </w:rPr>
        <w:t>CQXSDE-2018</w:t>
      </w:r>
      <w:r>
        <w:rPr>
          <w:rFonts w:hint="eastAsia" w:ascii="宋体" w:hAnsi="宋体" w:cs="宋体"/>
          <w:color w:val="auto"/>
          <w:kern w:val="0"/>
          <w:szCs w:val="21"/>
          <w:highlight w:val="none"/>
        </w:rPr>
        <w:t>）、《重庆市绿色建筑工程计价定额》（</w:t>
      </w:r>
      <w:r>
        <w:rPr>
          <w:rFonts w:ascii="宋体" w:hAnsi="宋体" w:cs="宋体"/>
          <w:color w:val="auto"/>
          <w:kern w:val="0"/>
          <w:szCs w:val="21"/>
          <w:highlight w:val="none"/>
        </w:rPr>
        <w:t>CQLSJZDE-2018</w:t>
      </w:r>
      <w:r>
        <w:rPr>
          <w:rFonts w:hint="eastAsia" w:ascii="宋体" w:hAnsi="宋体" w:cs="宋体"/>
          <w:color w:val="auto"/>
          <w:kern w:val="0"/>
          <w:szCs w:val="21"/>
          <w:highlight w:val="none"/>
        </w:rPr>
        <w:t>）、《重庆市建设工程施工机械台班定额》（</w:t>
      </w:r>
      <w:r>
        <w:rPr>
          <w:rFonts w:ascii="宋体" w:hAnsi="宋体" w:cs="宋体"/>
          <w:color w:val="auto"/>
          <w:kern w:val="0"/>
          <w:szCs w:val="21"/>
          <w:highlight w:val="none"/>
        </w:rPr>
        <w:t>CQJXDE-2018</w:t>
      </w:r>
      <w:r>
        <w:rPr>
          <w:rFonts w:hint="eastAsia" w:ascii="宋体" w:hAnsi="宋体" w:cs="宋体"/>
          <w:color w:val="auto"/>
          <w:kern w:val="0"/>
          <w:szCs w:val="21"/>
          <w:highlight w:val="none"/>
        </w:rPr>
        <w:t>）、《重庆市建设工程施工仪器仪表台班定额》（</w:t>
      </w:r>
      <w:r>
        <w:rPr>
          <w:rFonts w:ascii="宋体" w:hAnsi="宋体" w:cs="宋体"/>
          <w:color w:val="auto"/>
          <w:kern w:val="0"/>
          <w:szCs w:val="21"/>
          <w:highlight w:val="none"/>
        </w:rPr>
        <w:t>CQYQYBDE-2018</w:t>
      </w:r>
      <w:r>
        <w:rPr>
          <w:rFonts w:hint="eastAsia" w:ascii="宋体" w:hAnsi="宋体" w:cs="宋体"/>
          <w:color w:val="auto"/>
          <w:kern w:val="0"/>
          <w:szCs w:val="21"/>
          <w:highlight w:val="none"/>
        </w:rPr>
        <w:t>）、《重庆市建设工程混凝土及砂浆配合比表》（</w:t>
      </w:r>
      <w:r>
        <w:rPr>
          <w:rFonts w:ascii="宋体" w:hAnsi="宋体" w:cs="宋体"/>
          <w:color w:val="auto"/>
          <w:kern w:val="0"/>
          <w:szCs w:val="21"/>
          <w:highlight w:val="none"/>
        </w:rPr>
        <w:t>CQPHBB-2018</w:t>
      </w:r>
      <w:r>
        <w:rPr>
          <w:rFonts w:hint="eastAsia" w:ascii="宋体" w:hAnsi="宋体" w:cs="宋体"/>
          <w:color w:val="auto"/>
          <w:kern w:val="0"/>
          <w:szCs w:val="21"/>
          <w:highlight w:val="none"/>
        </w:rPr>
        <w:t>）、《重庆市建设工程费用定额》（</w:t>
      </w:r>
      <w:r>
        <w:rPr>
          <w:rFonts w:ascii="宋体" w:hAnsi="宋体" w:cs="宋体"/>
          <w:color w:val="auto"/>
          <w:kern w:val="0"/>
          <w:szCs w:val="21"/>
          <w:highlight w:val="none"/>
        </w:rPr>
        <w:t>CQFYDE-2018</w:t>
      </w:r>
      <w:r>
        <w:rPr>
          <w:rFonts w:hint="eastAsia" w:ascii="宋体" w:hAnsi="宋体" w:cs="宋体"/>
          <w:color w:val="auto"/>
          <w:kern w:val="0"/>
          <w:szCs w:val="21"/>
          <w:highlight w:val="none"/>
        </w:rPr>
        <w:t>）及相关配套文件进行组价并按承包人建筑安装工程费报价浮动率进行计算（认质核价的设备和材料不参与浮动），经监理人、跟审单位（如有）、发包人审定后执行。</w:t>
      </w:r>
    </w:p>
    <w:p w14:paraId="490B9B84">
      <w:pPr>
        <w:widowControl/>
        <w:adjustRightInd w:val="0"/>
        <w:snapToGrid w:val="0"/>
        <w:spacing w:after="163" w:afterLines="50" w:line="44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B.</w:t>
      </w:r>
      <w:r>
        <w:rPr>
          <w:rFonts w:hint="eastAsia" w:ascii="宋体" w:hAnsi="宋体" w:cs="宋体"/>
          <w:color w:val="auto"/>
          <w:kern w:val="0"/>
          <w:szCs w:val="21"/>
          <w:highlight w:val="none"/>
        </w:rPr>
        <w:t>无定额可套用的，由承包人会同监理人、跟审单位（如有）、发包人按相关原则、编制方法编制补充定额（人工、材料、机械基价执行</w:t>
      </w:r>
      <w:r>
        <w:rPr>
          <w:rFonts w:ascii="宋体" w:hAnsi="宋体" w:cs="宋体"/>
          <w:color w:val="auto"/>
          <w:kern w:val="0"/>
          <w:szCs w:val="21"/>
          <w:highlight w:val="none"/>
        </w:rPr>
        <w:t>2018</w:t>
      </w:r>
      <w:r>
        <w:rPr>
          <w:rFonts w:hint="eastAsia" w:ascii="宋体" w:hAnsi="宋体" w:cs="宋体"/>
          <w:color w:val="auto"/>
          <w:kern w:val="0"/>
          <w:szCs w:val="21"/>
          <w:highlight w:val="none"/>
        </w:rPr>
        <w:t>年计价定额的基价，</w:t>
      </w:r>
      <w:r>
        <w:rPr>
          <w:rFonts w:ascii="宋体" w:hAnsi="宋体" w:cs="宋体"/>
          <w:color w:val="auto"/>
          <w:kern w:val="0"/>
          <w:szCs w:val="21"/>
          <w:highlight w:val="none"/>
        </w:rPr>
        <w:t>2018</w:t>
      </w:r>
      <w:r>
        <w:rPr>
          <w:rFonts w:hint="eastAsia" w:ascii="宋体" w:hAnsi="宋体" w:cs="宋体"/>
          <w:color w:val="auto"/>
          <w:kern w:val="0"/>
          <w:szCs w:val="21"/>
          <w:highlight w:val="none"/>
        </w:rPr>
        <w:t>年计价定额没有的基价，按市场价计），其余计算按照</w:t>
      </w:r>
      <w:r>
        <w:rPr>
          <w:rFonts w:ascii="宋体" w:hAnsi="宋体" w:cs="宋体"/>
          <w:color w:val="auto"/>
          <w:kern w:val="0"/>
          <w:szCs w:val="21"/>
          <w:highlight w:val="none"/>
        </w:rPr>
        <w:t>A</w:t>
      </w:r>
      <w:r>
        <w:rPr>
          <w:rFonts w:hint="eastAsia" w:ascii="宋体" w:hAnsi="宋体" w:cs="宋体"/>
          <w:color w:val="auto"/>
          <w:kern w:val="0"/>
          <w:szCs w:val="21"/>
          <w:highlight w:val="none"/>
        </w:rPr>
        <w:t>办法执行；或参照重庆市场相同工作的市场价格上报监理人，价格按承包人、监理人、跟审单位（如有）、发包人共同询价确认的价格执行。</w:t>
      </w:r>
    </w:p>
    <w:p w14:paraId="46C08221">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C.工程量按《房屋建筑与装饰工程工程量计算规范》（GB50854-2013）、《仿古建筑工程工程量计算规范》（GB50855-2013）、《通用安装工程工程量计算规范》（GB50856-2013）比选申请报价方式为固定费率的，承包人建筑安装工程费报价浮动率</w:t>
      </w:r>
      <w:r>
        <w:rPr>
          <w:rFonts w:ascii="宋体" w:hAnsi="宋体" w:cs="宋体"/>
          <w:color w:val="auto"/>
          <w:kern w:val="0"/>
          <w:szCs w:val="21"/>
          <w:highlight w:val="none"/>
        </w:rPr>
        <w:t>=</w:t>
      </w:r>
      <w:r>
        <w:rPr>
          <w:rFonts w:hint="eastAsia" w:ascii="宋体" w:hAnsi="宋体" w:cs="宋体"/>
          <w:color w:val="auto"/>
          <w:kern w:val="0"/>
          <w:szCs w:val="21"/>
          <w:highlight w:val="none"/>
        </w:rPr>
        <w:t>中标固定费率。</w:t>
      </w:r>
    </w:p>
    <w:p w14:paraId="3151236F">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）人工单价：按开标当期《重庆工程造价》发布的项目所在地的人工单价执行。</w:t>
      </w:r>
    </w:p>
    <w:p w14:paraId="2EF2633E">
      <w:pPr>
        <w:widowControl/>
        <w:adjustRightInd w:val="0"/>
        <w:snapToGrid w:val="0"/>
        <w:spacing w:after="163" w:afterLines="50" w:line="440" w:lineRule="exact"/>
        <w:ind w:firstLine="420" w:firstLineChars="200"/>
        <w:jc w:val="left"/>
        <w:rPr>
          <w:rFonts w:ascii="宋体" w:hAnsi="宋体" w:cs="宋体"/>
          <w:color w:val="auto"/>
          <w:kern w:val="0"/>
          <w:highlight w:val="none"/>
        </w:rPr>
      </w:pPr>
      <w:bookmarkStart w:id="2678" w:name="_Hlk529023896"/>
      <w:bookmarkEnd w:id="2678"/>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）设备材料单价：</w:t>
      </w:r>
    </w:p>
    <w:p w14:paraId="344F229D">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①按</w:t>
      </w:r>
      <w:bookmarkStart w:id="2679" w:name="_Hlk529023354"/>
      <w:r>
        <w:rPr>
          <w:rFonts w:hint="eastAsia" w:ascii="宋体" w:hAnsi="宋体" w:cs="宋体"/>
          <w:color w:val="auto"/>
          <w:kern w:val="0"/>
          <w:szCs w:val="21"/>
          <w:highlight w:val="none"/>
        </w:rPr>
        <w:t>开标当期《重庆工程造价》发布的项目所在地的信息价</w:t>
      </w:r>
      <w:bookmarkEnd w:id="2679"/>
      <w:r>
        <w:rPr>
          <w:rFonts w:hint="eastAsia" w:ascii="宋体" w:hAnsi="宋体" w:cs="宋体"/>
          <w:color w:val="auto"/>
          <w:kern w:val="0"/>
          <w:szCs w:val="21"/>
          <w:highlight w:val="none"/>
        </w:rPr>
        <w:t>执行；</w:t>
      </w:r>
    </w:p>
    <w:p w14:paraId="531980A4">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②开标当期《重庆工程造价》中没有的，承包人比选申请报价中有的，按承包人比选申请报价中相同设备材料单价的最低值执行；</w:t>
      </w:r>
    </w:p>
    <w:p w14:paraId="20D1CCC8">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③开标当期《重庆工程造价》和承包人比选申请报价没有的，由承包人申报，监理人会同跟审单位、发包人根据市场行情认质核价确定。</w:t>
      </w:r>
    </w:p>
    <w:p w14:paraId="217BC280">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）企业管理费和利润：按《重庆市建设工程费用定额》（</w:t>
      </w:r>
      <w:r>
        <w:rPr>
          <w:rFonts w:ascii="宋体" w:hAnsi="宋体" w:cs="宋体"/>
          <w:color w:val="auto"/>
          <w:kern w:val="0"/>
          <w:szCs w:val="21"/>
          <w:highlight w:val="none"/>
        </w:rPr>
        <w:t>CQFYDE-2018</w:t>
      </w:r>
      <w:r>
        <w:rPr>
          <w:rFonts w:hint="eastAsia" w:ascii="宋体" w:hAnsi="宋体" w:cs="宋体"/>
          <w:color w:val="auto"/>
          <w:kern w:val="0"/>
          <w:szCs w:val="21"/>
          <w:highlight w:val="none"/>
        </w:rPr>
        <w:t>）费用标准进行计算。</w:t>
      </w:r>
    </w:p>
    <w:p w14:paraId="5BCD0FF0">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）规费：按《重庆市建设工程费用定额》（</w:t>
      </w:r>
      <w:r>
        <w:rPr>
          <w:rFonts w:ascii="宋体" w:hAnsi="宋体" w:cs="宋体"/>
          <w:color w:val="auto"/>
          <w:kern w:val="0"/>
          <w:szCs w:val="21"/>
          <w:highlight w:val="none"/>
        </w:rPr>
        <w:t>CQFYDE-2018</w:t>
      </w:r>
      <w:r>
        <w:rPr>
          <w:rFonts w:hint="eastAsia" w:ascii="宋体" w:hAnsi="宋体" w:cs="宋体"/>
          <w:color w:val="auto"/>
          <w:kern w:val="0"/>
          <w:szCs w:val="21"/>
          <w:highlight w:val="none"/>
        </w:rPr>
        <w:t>）费用标准进行计算。</w:t>
      </w:r>
    </w:p>
    <w:p w14:paraId="054FE7E9">
      <w:pPr>
        <w:widowControl/>
        <w:adjustRightInd w:val="0"/>
        <w:snapToGrid w:val="0"/>
        <w:spacing w:after="163" w:afterLines="50"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）税金：包含增值税、城市维护建设税、教育费附加、地方教育附加以及环境保护税。其中增值税、附加税按《重庆市建设工程费用定额》（</w:t>
      </w:r>
      <w:r>
        <w:rPr>
          <w:rFonts w:ascii="宋体" w:hAnsi="宋体" w:cs="宋体"/>
          <w:color w:val="auto"/>
          <w:kern w:val="0"/>
          <w:szCs w:val="21"/>
          <w:highlight w:val="none"/>
        </w:rPr>
        <w:t>CQFYDE-2018</w:t>
      </w:r>
      <w:r>
        <w:rPr>
          <w:rFonts w:hint="eastAsia" w:ascii="宋体" w:hAnsi="宋体" w:cs="宋体"/>
          <w:color w:val="auto"/>
          <w:kern w:val="0"/>
          <w:szCs w:val="21"/>
          <w:highlight w:val="none"/>
        </w:rPr>
        <w:t>）规定及配套文件执行、《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 -2013）、《重庆市建设工程工程量计算规则》（CQJLGZ-2013）等规定的计算规则计量。</w:t>
      </w:r>
    </w:p>
    <w:p w14:paraId="626453AE">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本项补充</w:t>
      </w:r>
      <w:r>
        <w:rPr>
          <w:rFonts w:ascii="宋体" w:hAnsi="宋体" w:cs="宋体"/>
          <w:color w:val="auto"/>
          <w:kern w:val="0"/>
          <w:szCs w:val="21"/>
          <w:highlight w:val="none"/>
        </w:rPr>
        <w:t>13.3.3.3</w:t>
      </w:r>
      <w:r>
        <w:rPr>
          <w:rFonts w:hint="eastAsia" w:ascii="宋体" w:hAnsi="宋体" w:cs="宋体"/>
          <w:color w:val="auto"/>
          <w:kern w:val="0"/>
          <w:szCs w:val="21"/>
          <w:highlight w:val="none"/>
        </w:rPr>
        <w:t>目：</w:t>
      </w:r>
    </w:p>
    <w:p w14:paraId="60E0794E">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13.3.3.3</w:t>
      </w:r>
      <w:r>
        <w:rPr>
          <w:rFonts w:hint="eastAsia" w:ascii="宋体" w:hAnsi="宋体" w:cs="宋体"/>
          <w:color w:val="auto"/>
          <w:kern w:val="0"/>
          <w:szCs w:val="21"/>
          <w:highlight w:val="none"/>
        </w:rPr>
        <w:t>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3502E887">
      <w:pPr>
        <w:widowControl/>
        <w:adjustRightInd w:val="0"/>
        <w:snapToGrid w:val="0"/>
        <w:spacing w:after="163" w:afterLines="50" w:line="44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）安全文明施工费应按照实际发生变化的措施项目依据现行安全文明施工费计取及管理政策规定及《重庆市建设工程费用定额》（</w:t>
      </w:r>
      <w:r>
        <w:rPr>
          <w:rFonts w:ascii="宋体" w:hAnsi="宋体" w:cs="宋体"/>
          <w:color w:val="auto"/>
          <w:kern w:val="0"/>
          <w:szCs w:val="21"/>
          <w:highlight w:val="none"/>
        </w:rPr>
        <w:t>CQFYDE-2018</w:t>
      </w:r>
      <w:r>
        <w:rPr>
          <w:rFonts w:hint="eastAsia" w:ascii="宋体" w:hAnsi="宋体" w:cs="宋体"/>
          <w:color w:val="auto"/>
          <w:kern w:val="0"/>
          <w:szCs w:val="21"/>
          <w:highlight w:val="none"/>
        </w:rPr>
        <w:t>）规定执行；</w:t>
      </w:r>
    </w:p>
    <w:p w14:paraId="2032D4A8">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）措施项目费应依照实际发生变化的措施项目费按承包人建筑安装工程费报价浮动率（或中标固定费率）进行计算；</w:t>
      </w:r>
    </w:p>
    <w:p w14:paraId="6CD7534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）如果承包人未事前将拟实施的方案提交给发包人确认，则应视为工程变更不引起措施项目费的调整或承包人放弃调整措施项目费的权利。</w:t>
      </w:r>
    </w:p>
    <w:p w14:paraId="59E053B7">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13.4 </w:t>
      </w:r>
      <w:r>
        <w:rPr>
          <w:rFonts w:hint="eastAsia" w:ascii="宋体" w:hAnsi="宋体" w:cs="宋体"/>
          <w:color w:val="auto"/>
          <w:kern w:val="0"/>
          <w:szCs w:val="21"/>
          <w:highlight w:val="none"/>
        </w:rPr>
        <w:t>暂估价</w:t>
      </w:r>
    </w:p>
    <w:p w14:paraId="5A212C70">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13.4.1 </w:t>
      </w:r>
      <w:r>
        <w:rPr>
          <w:rFonts w:hint="eastAsia" w:ascii="宋体" w:hAnsi="宋体" w:cs="宋体"/>
          <w:color w:val="auto"/>
          <w:kern w:val="0"/>
          <w:szCs w:val="21"/>
          <w:highlight w:val="none"/>
        </w:rPr>
        <w:t>依法必须招标的暂估价项目</w:t>
      </w:r>
    </w:p>
    <w:p w14:paraId="7C37517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承包人可以参与投标的暂估价项目范围：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5685EB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承包人不得参与投标的暂估价项目范围：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99A6B1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招投标程序及其他约定：</w:t>
      </w:r>
      <w:r>
        <w:rPr>
          <w:rFonts w:hint="eastAsia" w:ascii="宋体" w:hAnsi="宋体" w:cs="宋体"/>
          <w:color w:val="auto"/>
          <w:kern w:val="0"/>
          <w:szCs w:val="21"/>
          <w:highlight w:val="none"/>
          <w:u w:val="single"/>
        </w:rPr>
        <w:t>单项合同暂估价在国家相关法律法规规定必须招标规模以上的，需依法必须招标的，由承包人、发包人共同招标确定</w:t>
      </w:r>
      <w:r>
        <w:rPr>
          <w:rFonts w:hint="eastAsia" w:ascii="宋体" w:hAnsi="宋体" w:cs="宋体"/>
          <w:color w:val="auto"/>
          <w:kern w:val="0"/>
          <w:szCs w:val="21"/>
          <w:highlight w:val="none"/>
        </w:rPr>
        <w:t>。</w:t>
      </w:r>
    </w:p>
    <w:p w14:paraId="55E30C6D">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13.4.2</w:t>
      </w:r>
      <w:r>
        <w:rPr>
          <w:rFonts w:hint="eastAsia" w:ascii="宋体" w:hAnsi="宋体" w:cs="宋体"/>
          <w:color w:val="auto"/>
          <w:kern w:val="0"/>
          <w:szCs w:val="21"/>
          <w:highlight w:val="none"/>
        </w:rPr>
        <w:t>不属于依法必须招标的暂估价项目</w:t>
      </w:r>
    </w:p>
    <w:p w14:paraId="10A4527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不属于依法必须招标的暂估价项目的协商及估价的约定：</w:t>
      </w:r>
      <w:r>
        <w:rPr>
          <w:rFonts w:hint="eastAsia" w:ascii="宋体" w:hAnsi="宋体" w:cs="宋体"/>
          <w:color w:val="auto"/>
          <w:kern w:val="0"/>
          <w:szCs w:val="21"/>
          <w:highlight w:val="none"/>
          <w:u w:val="single"/>
        </w:rPr>
        <w:t>单项合同暂估价在国家相关法律法规规定必须招标规模以下的，符合可以不招标相关规定的，由承包人采取交钥匙工程模式实施，发包人配合。承包人（需在允许资质范围内）或承包人委托的有资质的专业分包单位实施。费用估价按照第</w:t>
      </w:r>
      <w:r>
        <w:rPr>
          <w:rFonts w:ascii="宋体" w:hAnsi="宋体" w:cs="宋体"/>
          <w:color w:val="auto"/>
          <w:kern w:val="0"/>
          <w:szCs w:val="21"/>
          <w:highlight w:val="none"/>
          <w:u w:val="single"/>
        </w:rPr>
        <w:t>13.3.3.1</w:t>
      </w:r>
      <w:r>
        <w:rPr>
          <w:rFonts w:hint="eastAsia" w:ascii="宋体" w:hAnsi="宋体" w:cs="宋体"/>
          <w:color w:val="auto"/>
          <w:kern w:val="0"/>
          <w:szCs w:val="21"/>
          <w:highlight w:val="none"/>
          <w:u w:val="single"/>
        </w:rPr>
        <w:t>目</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变更估价原则</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执行，承包人申报，经监理人、跟审单位（如有）、发包人共同审定。审定后根据承包人订立的相关合同（需经监理人、跟审单位（如有）、发包人共同确认）约定，由承包人申报，随进度款按与相关单位订立的合同约定一并支付</w:t>
      </w:r>
      <w:r>
        <w:rPr>
          <w:rFonts w:hint="eastAsia" w:ascii="宋体" w:hAnsi="宋体" w:cs="宋体"/>
          <w:color w:val="auto"/>
          <w:kern w:val="0"/>
          <w:szCs w:val="21"/>
          <w:highlight w:val="none"/>
        </w:rPr>
        <w:t>。</w:t>
      </w:r>
    </w:p>
    <w:p w14:paraId="2C32E6AE">
      <w:pPr>
        <w:widowControl/>
        <w:adjustRightInd w:val="0"/>
        <w:snapToGrid w:val="0"/>
        <w:spacing w:after="163" w:afterLines="50" w:line="360" w:lineRule="auto"/>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13.5 </w:t>
      </w:r>
      <w:r>
        <w:rPr>
          <w:rFonts w:hint="eastAsia" w:ascii="宋体" w:hAnsi="宋体" w:cs="宋体"/>
          <w:color w:val="auto"/>
          <w:kern w:val="0"/>
          <w:szCs w:val="21"/>
          <w:highlight w:val="none"/>
        </w:rPr>
        <w:t>暂列金额</w:t>
      </w:r>
    </w:p>
    <w:p w14:paraId="76DFDDC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其他关于暂列金额使用的约定：</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p>
    <w:p w14:paraId="389F3FA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13.8 </w:t>
      </w:r>
      <w:r>
        <w:rPr>
          <w:rFonts w:hint="eastAsia" w:ascii="宋体" w:hAnsi="宋体" w:cs="宋体"/>
          <w:color w:val="auto"/>
          <w:kern w:val="0"/>
          <w:szCs w:val="21"/>
          <w:highlight w:val="none"/>
        </w:rPr>
        <w:t>市场价格波动引起的调整</w:t>
      </w:r>
    </w:p>
    <w:p w14:paraId="2D6A6EDA">
      <w:pPr>
        <w:widowControl/>
        <w:adjustRightInd w:val="0"/>
        <w:snapToGrid w:val="0"/>
        <w:spacing w:after="163" w:afterLines="50" w:line="480" w:lineRule="exact"/>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rPr>
        <w:t xml:space="preserve">13.8.1 </w:t>
      </w:r>
      <w:r>
        <w:rPr>
          <w:rFonts w:hint="eastAsia" w:ascii="宋体" w:hAnsi="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rPr>
        <w:t>不调整。</w:t>
      </w:r>
    </w:p>
    <w:p w14:paraId="11EB2B0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13.8.2 </w:t>
      </w:r>
      <w:r>
        <w:rPr>
          <w:rFonts w:hint="eastAsia" w:ascii="宋体" w:hAnsi="宋体" w:cs="宋体"/>
          <w:color w:val="auto"/>
          <w:kern w:val="0"/>
          <w:szCs w:val="21"/>
          <w:highlight w:val="none"/>
        </w:rPr>
        <w:t>关于是否采用《价格指数权重表》的约定：</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14:paraId="40FB6F9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关于各可调因子、定值和变值权重，以及基本价格指数及其来源的约定：</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639498C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13.8.3 </w:t>
      </w:r>
      <w:r>
        <w:rPr>
          <w:rFonts w:hint="eastAsia" w:ascii="宋体" w:hAnsi="宋体" w:cs="宋体"/>
          <w:color w:val="auto"/>
          <w:kern w:val="0"/>
          <w:szCs w:val="21"/>
          <w:highlight w:val="none"/>
        </w:rPr>
        <w:t>关于是否采用造价信息进行价格调整的约定：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37EE0BE">
      <w:pPr>
        <w:widowControl/>
        <w:adjustRightInd w:val="0"/>
        <w:snapToGrid w:val="0"/>
        <w:spacing w:after="163" w:afterLines="50" w:line="480" w:lineRule="exact"/>
        <w:ind w:firstLine="420" w:firstLineChars="200"/>
        <w:jc w:val="left"/>
        <w:rPr>
          <w:rFonts w:ascii="宋体" w:hAnsi="宋体" w:cs="宋体"/>
          <w:color w:val="auto"/>
          <w:kern w:val="0"/>
          <w:highlight w:val="none"/>
          <w:u w:val="single"/>
        </w:rPr>
      </w:pPr>
      <w:bookmarkStart w:id="2680" w:name="_Hlk524296901"/>
      <w:bookmarkEnd w:id="2680"/>
      <w:r>
        <w:rPr>
          <w:rFonts w:ascii="宋体" w:hAnsi="宋体" w:cs="宋体"/>
          <w:color w:val="auto"/>
          <w:kern w:val="0"/>
          <w:szCs w:val="21"/>
          <w:highlight w:val="none"/>
        </w:rPr>
        <w:t>13.8.3.1</w:t>
      </w:r>
      <w:r>
        <w:rPr>
          <w:rFonts w:hint="eastAsia" w:ascii="宋体" w:hAnsi="宋体" w:cs="宋体"/>
          <w:color w:val="auto"/>
          <w:kern w:val="0"/>
          <w:szCs w:val="21"/>
          <w:highlight w:val="none"/>
        </w:rPr>
        <w:t>人工费价差调整办法：</w:t>
      </w:r>
      <w:bookmarkStart w:id="2681" w:name="_Toc466911548"/>
      <w:bookmarkEnd w:id="2681"/>
      <w:bookmarkStart w:id="2682" w:name="_Toc466913966"/>
      <w:bookmarkEnd w:id="2682"/>
      <w:bookmarkStart w:id="2683" w:name="_Toc467689644"/>
      <w:bookmarkEnd w:id="2683"/>
      <w:r>
        <w:rPr>
          <w:rFonts w:hint="eastAsia" w:ascii="宋体" w:hAnsi="宋体" w:cs="宋体"/>
          <w:color w:val="auto"/>
          <w:kern w:val="0"/>
          <w:szCs w:val="21"/>
          <w:highlight w:val="none"/>
          <w:u w:val="single"/>
        </w:rPr>
        <w:t>不调整。</w:t>
      </w:r>
    </w:p>
    <w:p w14:paraId="038E956F">
      <w:pPr>
        <w:widowControl/>
        <w:adjustRightInd w:val="0"/>
        <w:snapToGrid w:val="0"/>
        <w:spacing w:after="163" w:afterLines="50" w:line="480" w:lineRule="exact"/>
        <w:ind w:firstLine="420" w:firstLineChars="200"/>
        <w:jc w:val="left"/>
        <w:rPr>
          <w:rFonts w:ascii="宋体" w:hAnsi="宋体" w:cs="宋体"/>
          <w:color w:val="auto"/>
          <w:kern w:val="0"/>
          <w:szCs w:val="21"/>
          <w:highlight w:val="none"/>
        </w:rPr>
      </w:pPr>
      <w:bookmarkStart w:id="2684" w:name="_Hlk524297138"/>
      <w:bookmarkEnd w:id="2684"/>
      <w:r>
        <w:rPr>
          <w:rFonts w:ascii="宋体" w:hAnsi="宋体" w:cs="宋体"/>
          <w:color w:val="auto"/>
          <w:kern w:val="0"/>
          <w:szCs w:val="21"/>
          <w:highlight w:val="none"/>
        </w:rPr>
        <w:t>13.8.3.2</w:t>
      </w:r>
      <w:r>
        <w:rPr>
          <w:rFonts w:hint="eastAsia" w:ascii="宋体" w:hAnsi="宋体" w:cs="宋体"/>
          <w:color w:val="auto"/>
          <w:kern w:val="0"/>
          <w:szCs w:val="21"/>
          <w:highlight w:val="none"/>
        </w:rPr>
        <w:t>材料费价差调整办法：</w:t>
      </w:r>
    </w:p>
    <w:p w14:paraId="62F1D17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市场价格波动是否调整合同价格的约定：合同工期一年以上（含一年），且市场价格波动幅度符合第 </w:t>
      </w:r>
      <w:r>
        <w:rPr>
          <w:rFonts w:hint="eastAsia" w:ascii="宋体" w:hAnsi="宋体" w:cs="宋体"/>
          <w:color w:val="auto"/>
          <w:kern w:val="0"/>
          <w:szCs w:val="21"/>
          <w:highlight w:val="none"/>
        </w:rPr>
        <w:t>13</w:t>
      </w:r>
      <w:r>
        <w:rPr>
          <w:rFonts w:ascii="宋体" w:hAnsi="宋体" w:cs="宋体"/>
          <w:color w:val="auto"/>
          <w:kern w:val="0"/>
          <w:szCs w:val="21"/>
          <w:highlight w:val="none"/>
        </w:rPr>
        <w:t>.</w:t>
      </w:r>
      <w:r>
        <w:rPr>
          <w:rFonts w:hint="eastAsia" w:ascii="宋体" w:hAnsi="宋体" w:cs="宋体"/>
          <w:color w:val="auto"/>
          <w:kern w:val="0"/>
          <w:szCs w:val="21"/>
          <w:highlight w:val="none"/>
        </w:rPr>
        <w:t>8</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2 项〔材料费价差调整办法〕约定的，按第 13.8.3.2</w:t>
      </w:r>
      <w:r>
        <w:rPr>
          <w:rFonts w:hint="eastAsia" w:ascii="宋体" w:hAnsi="宋体" w:cs="宋体"/>
          <w:color w:val="auto"/>
          <w:kern w:val="0"/>
          <w:szCs w:val="21"/>
          <w:highlight w:val="none"/>
        </w:rPr>
        <w:t>.1</w:t>
      </w:r>
      <w:r>
        <w:rPr>
          <w:rFonts w:ascii="宋体" w:hAnsi="宋体" w:cs="宋体"/>
          <w:color w:val="auto"/>
          <w:kern w:val="0"/>
          <w:szCs w:val="21"/>
          <w:highlight w:val="none"/>
        </w:rPr>
        <w:t xml:space="preserve"> 项〔材料费价差调整办法〕约定调整合同价格；第  13.8.3.2.1项〔材料费价差调整办法〕约定的调差条件之外的市场价格波动风险不调整合同价格，风险费用由承包人自行考虑后纳入签约合同价格中，包干使用。</w:t>
      </w:r>
    </w:p>
    <w:p w14:paraId="34127D46">
      <w:pPr>
        <w:widowControl/>
        <w:adjustRightInd w:val="0"/>
        <w:snapToGrid w:val="0"/>
        <w:spacing w:after="163" w:afterLines="50" w:line="480"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 xml:space="preserve"> 因市场价格波动调整合同价格，采用以下第</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种方式对合同价格进行调整： </w:t>
      </w:r>
    </w:p>
    <w:p w14:paraId="5F7ED2DC">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第 1 种方式：采用价格指数进行价格调整。关于各可调因子、定值和变值权重，以及基本价格指数及其来源的约定：</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 </w:t>
      </w:r>
    </w:p>
    <w:p w14:paraId="4BA1C1B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第 2 种方式：采用造价信息进行价格调整，调整方法如下：</w:t>
      </w:r>
    </w:p>
    <w:p w14:paraId="20A7F615">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13.8.3.2.1材料费价差调整办法 可调价差材料：水泥、商品砼、碎石、砂、钢筋、型钢、电缆。 可调价差材料的价差调整办法如下： </w:t>
      </w:r>
    </w:p>
    <w:p w14:paraId="48E680A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（1）自实际开工时间起至合同约定的工期结束时间止，期间《重庆工程造价》发布的信息价的算术平均值较开标当期《重庆工程造价》发布的信息价变化超过±5%时，按以下约定调整：</w:t>
      </w:r>
    </w:p>
    <w:p w14:paraId="108E24D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①</w:t>
      </w:r>
      <w:r>
        <w:rPr>
          <w:rFonts w:ascii="宋体" w:hAnsi="宋体" w:cs="宋体"/>
          <w:color w:val="auto"/>
          <w:kern w:val="0"/>
          <w:szCs w:val="21"/>
          <w:highlight w:val="none"/>
        </w:rPr>
        <w:t>已标价工程量清单中载明材料单价不高于开标当期《重庆工程造价》发布的信息价的按期间 《重庆工程造价》发布信息价的算术平均值减去开标当期《重庆工程造价》发布的信息价乘以 （1±5%）调差。</w:t>
      </w:r>
    </w:p>
    <w:p w14:paraId="5F6A8CD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②</w:t>
      </w:r>
      <w:r>
        <w:rPr>
          <w:rFonts w:ascii="宋体" w:hAnsi="宋体" w:cs="宋体"/>
          <w:color w:val="auto"/>
          <w:kern w:val="0"/>
          <w:szCs w:val="21"/>
          <w:highlight w:val="none"/>
        </w:rPr>
        <w:t xml:space="preserve">已标价工程量清单中载明材料单价高于开标当期《重庆工程造价》发布的信息价的，按期间 《重庆工程造价》发布信息价的算术平均值减去已标价工程量清单中载明材料单价乘以（1±5%）调 差。 </w:t>
      </w:r>
    </w:p>
    <w:p w14:paraId="09D2586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（2）工程量按照第 14.1.3.1项〔计量原则〕约定计算，单位工程的材料消耗量按承包人比选申请报价的消耗量执行（承包人比选申请报价的单位工程材料消耗量高于定额单位工程材料消耗量的，按定额单位工程的材料消耗量执行）。</w:t>
      </w:r>
    </w:p>
    <w:p w14:paraId="6FBDD146">
      <w:pPr>
        <w:widowControl/>
        <w:adjustRightInd w:val="0"/>
        <w:snapToGrid w:val="0"/>
        <w:spacing w:after="163" w:afterLines="50" w:line="480" w:lineRule="exact"/>
        <w:outlineLvl w:val="1"/>
        <w:rPr>
          <w:rFonts w:ascii="宋体" w:hAnsi="宋体" w:cs="Times"/>
          <w:color w:val="auto"/>
          <w:kern w:val="0"/>
          <w:highlight w:val="none"/>
        </w:rPr>
      </w:pPr>
      <w:bookmarkStart w:id="2685" w:name="_Toc20171887"/>
      <w:bookmarkEnd w:id="2685"/>
      <w:bookmarkStart w:id="2686" w:name="_Toc8321"/>
      <w:bookmarkStart w:id="2687" w:name="_Toc170932605"/>
      <w:bookmarkStart w:id="2688" w:name="_Toc84930874"/>
      <w:r>
        <w:rPr>
          <w:rFonts w:hint="eastAsia" w:ascii="宋体" w:hAnsi="宋体" w:cs="Times"/>
          <w:color w:val="auto"/>
          <w:kern w:val="0"/>
          <w:szCs w:val="21"/>
          <w:highlight w:val="none"/>
        </w:rPr>
        <w:t>第</w:t>
      </w:r>
      <w:r>
        <w:rPr>
          <w:rFonts w:ascii="宋体" w:hAnsi="宋体" w:cs="Times"/>
          <w:color w:val="auto"/>
          <w:kern w:val="0"/>
          <w:szCs w:val="21"/>
          <w:highlight w:val="none"/>
        </w:rPr>
        <w:t>14</w:t>
      </w:r>
      <w:r>
        <w:rPr>
          <w:rFonts w:hint="eastAsia" w:ascii="宋体" w:hAnsi="宋体" w:cs="Times"/>
          <w:color w:val="auto"/>
          <w:kern w:val="0"/>
          <w:szCs w:val="21"/>
          <w:highlight w:val="none"/>
        </w:rPr>
        <w:t>条合同价格与支付</w:t>
      </w:r>
      <w:bookmarkEnd w:id="2686"/>
      <w:bookmarkEnd w:id="2687"/>
      <w:bookmarkEnd w:id="2688"/>
    </w:p>
    <w:p w14:paraId="6CE9FBF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14.1 </w:t>
      </w:r>
      <w:r>
        <w:rPr>
          <w:rFonts w:hint="eastAsia" w:ascii="宋体" w:hAnsi="宋体" w:cs="宋体"/>
          <w:color w:val="auto"/>
          <w:kern w:val="0"/>
          <w:szCs w:val="21"/>
          <w:highlight w:val="none"/>
        </w:rPr>
        <w:t>合同价格形式</w:t>
      </w:r>
    </w:p>
    <w:p w14:paraId="0FF9CD2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14.1.1 </w:t>
      </w:r>
      <w:r>
        <w:rPr>
          <w:rFonts w:hint="eastAsia" w:ascii="宋体" w:hAnsi="宋体" w:cs="宋体"/>
          <w:color w:val="auto"/>
          <w:kern w:val="0"/>
          <w:szCs w:val="21"/>
          <w:highlight w:val="none"/>
        </w:rPr>
        <w:t>关于合同价格形式的约定：在以下方式中选择其一，作为双方对合同价格形式的约定。</w:t>
      </w:r>
    </w:p>
    <w:p w14:paraId="4D78C35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□固定总价合同</w:t>
      </w:r>
    </w:p>
    <w:p w14:paraId="034DC14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szCs w:val="21"/>
          <w:highlight w:val="none"/>
        </w:rPr>
        <w:t>本合同为固定总价合同。设计费、专业设备材料费、建筑安装工程费均为固定总价，中标总价即为签约合同价，除根据第</w:t>
      </w:r>
      <w:r>
        <w:rPr>
          <w:rFonts w:ascii="宋体" w:hAnsi="宋体" w:cs="宋体"/>
          <w:color w:val="auto"/>
          <w:szCs w:val="21"/>
          <w:highlight w:val="none"/>
        </w:rPr>
        <w:t>13</w:t>
      </w:r>
      <w:r>
        <w:rPr>
          <w:rFonts w:hint="eastAsia" w:ascii="宋体" w:hAnsi="宋体" w:cs="宋体"/>
          <w:color w:val="auto"/>
          <w:szCs w:val="21"/>
          <w:highlight w:val="none"/>
        </w:rPr>
        <w:t>条</w:t>
      </w:r>
      <w:r>
        <w:rPr>
          <w:rFonts w:ascii="宋体" w:hAnsi="宋体" w:cs="宋体"/>
          <w:color w:val="auto"/>
          <w:szCs w:val="21"/>
          <w:highlight w:val="none"/>
        </w:rPr>
        <w:t>[</w:t>
      </w:r>
      <w:r>
        <w:rPr>
          <w:rFonts w:hint="eastAsia" w:ascii="宋体" w:hAnsi="宋体" w:cs="宋体"/>
          <w:color w:val="auto"/>
          <w:szCs w:val="21"/>
          <w:highlight w:val="none"/>
        </w:rPr>
        <w:t>变更与调整</w:t>
      </w:r>
      <w:r>
        <w:rPr>
          <w:rFonts w:ascii="宋体" w:hAnsi="宋体" w:cs="宋体"/>
          <w:color w:val="auto"/>
          <w:szCs w:val="21"/>
          <w:highlight w:val="none"/>
        </w:rPr>
        <w:t>]</w:t>
      </w:r>
      <w:r>
        <w:rPr>
          <w:rFonts w:hint="eastAsia" w:ascii="宋体" w:hAnsi="宋体" w:cs="宋体"/>
          <w:color w:val="auto"/>
          <w:szCs w:val="21"/>
          <w:highlight w:val="none"/>
        </w:rPr>
        <w:t>，以及合同中其它相关增减金额的约定进行调整外，合同价格不做调整。</w:t>
      </w:r>
    </w:p>
    <w:p w14:paraId="2EA0C88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☑固定单价</w:t>
      </w:r>
      <w:r>
        <w:rPr>
          <w:rFonts w:ascii="宋体" w:hAnsi="宋体" w:cs="宋体"/>
          <w:color w:val="auto"/>
          <w:kern w:val="0"/>
          <w:szCs w:val="21"/>
          <w:highlight w:val="none"/>
        </w:rPr>
        <w:t>/</w:t>
      </w:r>
      <w:r>
        <w:rPr>
          <w:rFonts w:hint="eastAsia" w:ascii="宋体" w:hAnsi="宋体" w:cs="宋体"/>
          <w:color w:val="auto"/>
          <w:kern w:val="0"/>
          <w:szCs w:val="21"/>
          <w:highlight w:val="none"/>
        </w:rPr>
        <w:t>费率合同</w:t>
      </w:r>
    </w:p>
    <w:p w14:paraId="2843E94A">
      <w:pPr>
        <w:widowControl/>
        <w:adjustRightInd w:val="0"/>
        <w:snapToGrid w:val="0"/>
        <w:spacing w:after="163" w:afterLines="50" w:line="480" w:lineRule="exact"/>
        <w:ind w:firstLine="420" w:firstLineChars="200"/>
        <w:rPr>
          <w:rFonts w:ascii="宋体" w:hAnsi="宋体" w:cs="宋体"/>
          <w:color w:val="auto"/>
          <w:highlight w:val="none"/>
        </w:rPr>
      </w:pPr>
      <w:r>
        <w:rPr>
          <w:rFonts w:hint="eastAsia" w:ascii="宋体" w:hAnsi="宋体" w:cs="宋体"/>
          <w:color w:val="auto"/>
          <w:szCs w:val="21"/>
          <w:highlight w:val="none"/>
        </w:rPr>
        <w:t>本合同为</w:t>
      </w:r>
      <w:r>
        <w:rPr>
          <w:rFonts w:hint="eastAsia" w:ascii="宋体" w:hAnsi="宋体" w:cs="宋体"/>
          <w:color w:val="auto"/>
          <w:kern w:val="0"/>
          <w:szCs w:val="21"/>
          <w:highlight w:val="none"/>
        </w:rPr>
        <w:t>固定单价</w:t>
      </w:r>
      <w:r>
        <w:rPr>
          <w:rFonts w:ascii="宋体" w:hAnsi="宋体" w:cs="宋体"/>
          <w:color w:val="auto"/>
          <w:kern w:val="0"/>
          <w:szCs w:val="21"/>
          <w:highlight w:val="none"/>
        </w:rPr>
        <w:t>/</w:t>
      </w:r>
      <w:r>
        <w:rPr>
          <w:rFonts w:hint="eastAsia" w:ascii="宋体" w:hAnsi="宋体" w:cs="宋体"/>
          <w:color w:val="auto"/>
          <w:kern w:val="0"/>
          <w:szCs w:val="21"/>
          <w:highlight w:val="none"/>
        </w:rPr>
        <w:t>费率</w:t>
      </w:r>
      <w:r>
        <w:rPr>
          <w:rFonts w:hint="eastAsia" w:ascii="宋体" w:hAnsi="宋体" w:cs="宋体"/>
          <w:color w:val="auto"/>
          <w:szCs w:val="21"/>
          <w:highlight w:val="none"/>
        </w:rPr>
        <w:t>合同。建筑安装工程费为</w:t>
      </w:r>
      <w:r>
        <w:rPr>
          <w:rFonts w:hint="eastAsia" w:ascii="宋体" w:hAnsi="宋体" w:cs="宋体"/>
          <w:color w:val="auto"/>
          <w:szCs w:val="21"/>
          <w:highlight w:val="none"/>
          <w:u w:val="single"/>
        </w:rPr>
        <w:t>固定费率</w:t>
      </w:r>
      <w:r>
        <w:rPr>
          <w:rFonts w:hint="eastAsia" w:ascii="宋体" w:hAnsi="宋体" w:cs="宋体"/>
          <w:color w:val="auto"/>
          <w:szCs w:val="21"/>
          <w:highlight w:val="none"/>
        </w:rPr>
        <w:t>。采用固定综合单价或固定总价的，除根据第</w:t>
      </w:r>
      <w:r>
        <w:rPr>
          <w:rFonts w:ascii="宋体" w:hAnsi="宋体" w:cs="宋体"/>
          <w:color w:val="auto"/>
          <w:szCs w:val="21"/>
          <w:highlight w:val="none"/>
        </w:rPr>
        <w:t>13</w:t>
      </w:r>
      <w:r>
        <w:rPr>
          <w:rFonts w:hint="eastAsia" w:ascii="宋体" w:hAnsi="宋体" w:cs="宋体"/>
          <w:color w:val="auto"/>
          <w:szCs w:val="21"/>
          <w:highlight w:val="none"/>
        </w:rPr>
        <w:t>条</w:t>
      </w:r>
      <w:r>
        <w:rPr>
          <w:rFonts w:ascii="宋体" w:hAnsi="宋体" w:cs="宋体"/>
          <w:color w:val="auto"/>
          <w:szCs w:val="21"/>
          <w:highlight w:val="none"/>
        </w:rPr>
        <w:t>[</w:t>
      </w:r>
      <w:r>
        <w:rPr>
          <w:rFonts w:hint="eastAsia" w:ascii="宋体" w:hAnsi="宋体" w:cs="宋体"/>
          <w:color w:val="auto"/>
          <w:szCs w:val="21"/>
          <w:highlight w:val="none"/>
        </w:rPr>
        <w:t>变更与调整</w:t>
      </w:r>
      <w:r>
        <w:rPr>
          <w:rFonts w:ascii="宋体" w:hAnsi="宋体" w:cs="宋体"/>
          <w:color w:val="auto"/>
          <w:szCs w:val="21"/>
          <w:highlight w:val="none"/>
        </w:rPr>
        <w:t>]</w:t>
      </w:r>
      <w:r>
        <w:rPr>
          <w:rFonts w:hint="eastAsia" w:ascii="宋体" w:hAnsi="宋体" w:cs="宋体"/>
          <w:color w:val="auto"/>
          <w:szCs w:val="21"/>
          <w:highlight w:val="none"/>
        </w:rPr>
        <w:t>，以及合同中其它相关增减金额的约定进行调整外，固定综合单价或固定总价不做调整；采用固定费率的，除合同中其它相关增减金额的约定进行调整外，固定费率不做调整。</w:t>
      </w:r>
    </w:p>
    <w:p w14:paraId="51B7C6CF">
      <w:pPr>
        <w:widowControl/>
        <w:adjustRightInd w:val="0"/>
        <w:snapToGrid w:val="0"/>
        <w:spacing w:after="163" w:afterLines="50" w:line="480" w:lineRule="exact"/>
        <w:ind w:firstLine="420" w:firstLineChars="200"/>
        <w:rPr>
          <w:rFonts w:ascii="宋体" w:hAnsi="宋体" w:cs="宋体"/>
          <w:color w:val="auto"/>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其他价格形式：</w:t>
      </w:r>
      <w:r>
        <w:rPr>
          <w:rFonts w:hint="eastAsia" w:ascii="宋体" w:hAnsi="宋体" w:cs="宋体"/>
          <w:color w:val="auto"/>
          <w:szCs w:val="21"/>
          <w:highlight w:val="none"/>
          <w:u w:val="single"/>
        </w:rPr>
        <w:t>不采用</w:t>
      </w:r>
      <w:r>
        <w:rPr>
          <w:rFonts w:hint="eastAsia" w:ascii="宋体" w:hAnsi="宋体" w:cs="宋体"/>
          <w:color w:val="auto"/>
          <w:szCs w:val="21"/>
          <w:highlight w:val="none"/>
        </w:rPr>
        <w:t>。</w:t>
      </w:r>
    </w:p>
    <w:p w14:paraId="310363E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14.1.2 </w:t>
      </w:r>
      <w:r>
        <w:rPr>
          <w:rFonts w:hint="eastAsia" w:ascii="宋体" w:hAnsi="宋体" w:cs="宋体"/>
          <w:color w:val="auto"/>
          <w:kern w:val="0"/>
          <w:szCs w:val="21"/>
          <w:highlight w:val="none"/>
        </w:rPr>
        <w:t>合同价格中的税费：</w:t>
      </w:r>
      <w:r>
        <w:rPr>
          <w:rFonts w:hint="eastAsia" w:ascii="宋体" w:hAnsi="宋体" w:cs="宋体"/>
          <w:color w:val="auto"/>
          <w:kern w:val="0"/>
          <w:szCs w:val="21"/>
          <w:highlight w:val="none"/>
          <w:u w:val="single"/>
        </w:rPr>
        <w:t>包含增值税、城市维护建设税、教育费附加、地方教育附加以及环境保护税。其中增值税、附加税按《重庆市建设工程费用定额》（</w:t>
      </w:r>
      <w:r>
        <w:rPr>
          <w:rFonts w:ascii="宋体" w:hAnsi="宋体" w:cs="宋体"/>
          <w:color w:val="auto"/>
          <w:kern w:val="0"/>
          <w:szCs w:val="21"/>
          <w:highlight w:val="none"/>
          <w:u w:val="single"/>
        </w:rPr>
        <w:t>CQFYDE-2018</w:t>
      </w:r>
      <w:r>
        <w:rPr>
          <w:rFonts w:hint="eastAsia" w:ascii="宋体" w:hAnsi="宋体" w:cs="宋体"/>
          <w:color w:val="auto"/>
          <w:kern w:val="0"/>
          <w:szCs w:val="21"/>
          <w:highlight w:val="none"/>
          <w:u w:val="single"/>
        </w:rPr>
        <w:t>）规定及配套文件执行</w:t>
      </w:r>
      <w:r>
        <w:rPr>
          <w:rFonts w:hint="eastAsia" w:ascii="宋体" w:hAnsi="宋体" w:cs="宋体"/>
          <w:color w:val="auto"/>
          <w:kern w:val="0"/>
          <w:szCs w:val="21"/>
          <w:highlight w:val="none"/>
        </w:rPr>
        <w:t>。</w:t>
      </w:r>
    </w:p>
    <w:p w14:paraId="1ED67FF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14.1.3 </w:t>
      </w:r>
      <w:r>
        <w:rPr>
          <w:rFonts w:hint="eastAsia" w:ascii="宋体" w:hAnsi="宋体" w:cs="宋体"/>
          <w:color w:val="auto"/>
          <w:kern w:val="0"/>
          <w:szCs w:val="21"/>
          <w:highlight w:val="none"/>
        </w:rPr>
        <w:t>按实际完成的工程量支付工程价款的计量方法</w:t>
      </w:r>
    </w:p>
    <w:p w14:paraId="7D172FD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14.1.3.1</w:t>
      </w:r>
      <w:r>
        <w:rPr>
          <w:rFonts w:hint="eastAsia" w:ascii="宋体" w:hAnsi="宋体" w:cs="宋体"/>
          <w:color w:val="auto"/>
          <w:kern w:val="0"/>
          <w:szCs w:val="21"/>
          <w:highlight w:val="none"/>
        </w:rPr>
        <w:t>计量原则</w:t>
      </w:r>
    </w:p>
    <w:p w14:paraId="2994848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工程量按《房屋建筑与装饰工程工程量计算规范》（</w:t>
      </w:r>
      <w:r>
        <w:rPr>
          <w:rFonts w:ascii="宋体" w:hAnsi="宋体" w:cs="宋体"/>
          <w:color w:val="auto"/>
          <w:kern w:val="0"/>
          <w:szCs w:val="21"/>
          <w:highlight w:val="none"/>
        </w:rPr>
        <w:t>GB50854-2013</w:t>
      </w:r>
      <w:r>
        <w:rPr>
          <w:rFonts w:hint="eastAsia" w:ascii="宋体" w:hAnsi="宋体" w:cs="宋体"/>
          <w:color w:val="auto"/>
          <w:kern w:val="0"/>
          <w:szCs w:val="21"/>
          <w:highlight w:val="none"/>
        </w:rPr>
        <w:t>）、《仿古建筑工程工程量计算规范》（</w:t>
      </w:r>
      <w:r>
        <w:rPr>
          <w:rFonts w:ascii="宋体" w:hAnsi="宋体" w:cs="宋体"/>
          <w:color w:val="auto"/>
          <w:kern w:val="0"/>
          <w:szCs w:val="21"/>
          <w:highlight w:val="none"/>
        </w:rPr>
        <w:t>GB50855-2013</w:t>
      </w:r>
      <w:r>
        <w:rPr>
          <w:rFonts w:hint="eastAsia" w:ascii="宋体" w:hAnsi="宋体" w:cs="宋体"/>
          <w:color w:val="auto"/>
          <w:kern w:val="0"/>
          <w:szCs w:val="21"/>
          <w:highlight w:val="none"/>
        </w:rPr>
        <w:t>）、《通用安装工程工程量计算规范》（</w:t>
      </w:r>
      <w:r>
        <w:rPr>
          <w:rFonts w:ascii="宋体" w:hAnsi="宋体" w:cs="宋体"/>
          <w:color w:val="auto"/>
          <w:kern w:val="0"/>
          <w:szCs w:val="21"/>
          <w:highlight w:val="none"/>
        </w:rPr>
        <w:t>GB50856-2013</w:t>
      </w:r>
      <w:r>
        <w:rPr>
          <w:rFonts w:hint="eastAsia" w:ascii="宋体" w:hAnsi="宋体" w:cs="宋体"/>
          <w:color w:val="auto"/>
          <w:kern w:val="0"/>
          <w:szCs w:val="21"/>
          <w:highlight w:val="none"/>
        </w:rPr>
        <w:t>）、《市政工程工程量计算规范》（</w:t>
      </w:r>
      <w:r>
        <w:rPr>
          <w:rFonts w:ascii="宋体" w:hAnsi="宋体" w:cs="宋体"/>
          <w:color w:val="auto"/>
          <w:kern w:val="0"/>
          <w:szCs w:val="21"/>
          <w:highlight w:val="none"/>
        </w:rPr>
        <w:t>GB50857-2013</w:t>
      </w:r>
      <w:r>
        <w:rPr>
          <w:rFonts w:hint="eastAsia" w:ascii="宋体" w:hAnsi="宋体" w:cs="宋体"/>
          <w:color w:val="auto"/>
          <w:kern w:val="0"/>
          <w:szCs w:val="21"/>
          <w:highlight w:val="none"/>
        </w:rPr>
        <w:t>）、《园林绿化工程工程量计算规范》（</w:t>
      </w:r>
      <w:r>
        <w:rPr>
          <w:rFonts w:ascii="宋体" w:hAnsi="宋体" w:cs="宋体"/>
          <w:color w:val="auto"/>
          <w:kern w:val="0"/>
          <w:szCs w:val="21"/>
          <w:highlight w:val="none"/>
        </w:rPr>
        <w:t>GB50858-2013</w:t>
      </w:r>
      <w:r>
        <w:rPr>
          <w:rFonts w:hint="eastAsia" w:ascii="宋体" w:hAnsi="宋体" w:cs="宋体"/>
          <w:color w:val="auto"/>
          <w:kern w:val="0"/>
          <w:szCs w:val="21"/>
          <w:highlight w:val="none"/>
        </w:rPr>
        <w:t>）、《矿山工程工程量计算规范》（</w:t>
      </w:r>
      <w:r>
        <w:rPr>
          <w:rFonts w:ascii="宋体" w:hAnsi="宋体" w:cs="宋体"/>
          <w:color w:val="auto"/>
          <w:kern w:val="0"/>
          <w:szCs w:val="21"/>
          <w:highlight w:val="none"/>
        </w:rPr>
        <w:t>GB50859-2013</w:t>
      </w:r>
      <w:r>
        <w:rPr>
          <w:rFonts w:hint="eastAsia" w:ascii="宋体" w:hAnsi="宋体" w:cs="宋体"/>
          <w:color w:val="auto"/>
          <w:kern w:val="0"/>
          <w:szCs w:val="21"/>
          <w:highlight w:val="none"/>
        </w:rPr>
        <w:t>）、《构筑物工程工程量计算规范》（</w:t>
      </w:r>
      <w:r>
        <w:rPr>
          <w:rFonts w:ascii="宋体" w:hAnsi="宋体" w:cs="宋体"/>
          <w:color w:val="auto"/>
          <w:kern w:val="0"/>
          <w:szCs w:val="21"/>
          <w:highlight w:val="none"/>
        </w:rPr>
        <w:t>GB50860-2013</w:t>
      </w:r>
      <w:r>
        <w:rPr>
          <w:rFonts w:hint="eastAsia" w:ascii="宋体" w:hAnsi="宋体" w:cs="宋体"/>
          <w:color w:val="auto"/>
          <w:kern w:val="0"/>
          <w:szCs w:val="21"/>
          <w:highlight w:val="none"/>
        </w:rPr>
        <w:t>）、《城市轨道交通工程工程量计算规范》（</w:t>
      </w:r>
      <w:r>
        <w:rPr>
          <w:rFonts w:ascii="宋体" w:hAnsi="宋体" w:cs="宋体"/>
          <w:color w:val="auto"/>
          <w:kern w:val="0"/>
          <w:szCs w:val="21"/>
          <w:highlight w:val="none"/>
        </w:rPr>
        <w:t>GB50861-2013</w:t>
      </w:r>
      <w:r>
        <w:rPr>
          <w:rFonts w:hint="eastAsia" w:ascii="宋体" w:hAnsi="宋体" w:cs="宋体"/>
          <w:color w:val="auto"/>
          <w:kern w:val="0"/>
          <w:szCs w:val="21"/>
          <w:highlight w:val="none"/>
        </w:rPr>
        <w:t>）和《爆破工程工程量计算规范》（</w:t>
      </w:r>
      <w:r>
        <w:rPr>
          <w:rFonts w:ascii="宋体" w:hAnsi="宋体" w:cs="宋体"/>
          <w:color w:val="auto"/>
          <w:kern w:val="0"/>
          <w:szCs w:val="21"/>
          <w:highlight w:val="none"/>
        </w:rPr>
        <w:t>GB50862-2013</w:t>
      </w:r>
      <w:r>
        <w:rPr>
          <w:rFonts w:hint="eastAsia" w:ascii="宋体" w:hAnsi="宋体" w:cs="宋体"/>
          <w:color w:val="auto"/>
          <w:kern w:val="0"/>
          <w:szCs w:val="21"/>
          <w:highlight w:val="none"/>
        </w:rPr>
        <w:t>）《重庆市建设工程工程量清单计价规则》（</w:t>
      </w:r>
      <w:r>
        <w:rPr>
          <w:rFonts w:ascii="宋体" w:hAnsi="宋体" w:cs="宋体"/>
          <w:color w:val="auto"/>
          <w:kern w:val="0"/>
          <w:szCs w:val="21"/>
          <w:highlight w:val="none"/>
        </w:rPr>
        <w:t>CQJJGZ-2013</w:t>
      </w:r>
      <w:r>
        <w:rPr>
          <w:rFonts w:hint="eastAsia" w:ascii="宋体" w:hAnsi="宋体" w:cs="宋体"/>
          <w:color w:val="auto"/>
          <w:kern w:val="0"/>
          <w:szCs w:val="21"/>
          <w:highlight w:val="none"/>
        </w:rPr>
        <w:t>）、《重庆市建设工程工程量计算规则》（</w:t>
      </w:r>
      <w:r>
        <w:rPr>
          <w:rFonts w:ascii="宋体" w:hAnsi="宋体" w:cs="宋体"/>
          <w:color w:val="auto"/>
          <w:kern w:val="0"/>
          <w:szCs w:val="21"/>
          <w:highlight w:val="none"/>
        </w:rPr>
        <w:t>CQJLGZ-2013</w:t>
      </w:r>
      <w:r>
        <w:rPr>
          <w:rFonts w:hint="eastAsia" w:ascii="宋体" w:hAnsi="宋体" w:cs="宋体"/>
          <w:color w:val="auto"/>
          <w:kern w:val="0"/>
          <w:szCs w:val="21"/>
          <w:highlight w:val="none"/>
        </w:rPr>
        <w:t>）等规定的计算规则计量。</w:t>
      </w:r>
    </w:p>
    <w:p w14:paraId="57C2995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14.1.3.2</w:t>
      </w:r>
      <w:r>
        <w:rPr>
          <w:rFonts w:hint="eastAsia" w:ascii="宋体" w:hAnsi="宋体" w:cs="宋体"/>
          <w:color w:val="auto"/>
          <w:kern w:val="0"/>
          <w:szCs w:val="21"/>
          <w:highlight w:val="none"/>
        </w:rPr>
        <w:t>计量周期</w:t>
      </w:r>
    </w:p>
    <w:p w14:paraId="061375E3">
      <w:pPr>
        <w:widowControl/>
        <w:spacing w:line="480" w:lineRule="exact"/>
        <w:ind w:firstLine="420" w:firstLineChars="200"/>
        <w:jc w:val="left"/>
        <w:rPr>
          <w:color w:val="auto"/>
          <w:highlight w:val="none"/>
          <w:u w:val="single"/>
        </w:rPr>
      </w:pPr>
      <w:r>
        <w:rPr>
          <w:rFonts w:hint="eastAsia" w:ascii="宋体" w:hAnsi="宋体" w:cs="宋体"/>
          <w:color w:val="auto"/>
          <w:kern w:val="0"/>
          <w:szCs w:val="21"/>
          <w:highlight w:val="none"/>
        </w:rPr>
        <w:t>关于计量周期的约定：</w:t>
      </w:r>
      <w:r>
        <w:rPr>
          <w:rFonts w:hint="eastAsia" w:ascii="宋体" w:hAnsi="宋体" w:cs="宋体"/>
          <w:color w:val="auto"/>
          <w:kern w:val="0"/>
          <w:szCs w:val="21"/>
          <w:highlight w:val="none"/>
          <w:u w:val="single"/>
          <w:lang w:bidi="ar"/>
        </w:rPr>
        <w:t xml:space="preserve">按月计量原则执行。 </w:t>
      </w:r>
    </w:p>
    <w:p w14:paraId="2E66E20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14.1.3.3</w:t>
      </w:r>
      <w:r>
        <w:rPr>
          <w:rFonts w:hint="eastAsia" w:ascii="宋体" w:hAnsi="宋体" w:cs="宋体"/>
          <w:color w:val="auto"/>
          <w:kern w:val="0"/>
          <w:szCs w:val="21"/>
          <w:highlight w:val="none"/>
        </w:rPr>
        <w:t>固定总价合同的计量</w:t>
      </w:r>
    </w:p>
    <w:p w14:paraId="6251C1A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关于固定总价合同计量的约定：按形象进度或支付分解表计量。</w:t>
      </w:r>
    </w:p>
    <w:p w14:paraId="680BD4C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14.1.3.4</w:t>
      </w:r>
      <w:r>
        <w:rPr>
          <w:rFonts w:hint="eastAsia" w:ascii="宋体" w:hAnsi="宋体" w:cs="宋体"/>
          <w:color w:val="auto"/>
          <w:kern w:val="0"/>
          <w:szCs w:val="21"/>
          <w:highlight w:val="none"/>
        </w:rPr>
        <w:t>固定单价</w:t>
      </w:r>
      <w:r>
        <w:rPr>
          <w:rFonts w:ascii="宋体" w:hAnsi="宋体" w:cs="宋体"/>
          <w:color w:val="auto"/>
          <w:kern w:val="0"/>
          <w:szCs w:val="21"/>
          <w:highlight w:val="none"/>
        </w:rPr>
        <w:t>/</w:t>
      </w:r>
      <w:r>
        <w:rPr>
          <w:rFonts w:hint="eastAsia" w:ascii="宋体" w:hAnsi="宋体" w:cs="宋体"/>
          <w:color w:val="auto"/>
          <w:kern w:val="0"/>
          <w:szCs w:val="21"/>
          <w:highlight w:val="none"/>
        </w:rPr>
        <w:t>费率合同的计量</w:t>
      </w:r>
    </w:p>
    <w:p w14:paraId="26AE822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）承包人应于当月10日前向监理人报送上月已完成的工程量，并附进度付款申请单、已完成工程量报表和其他有关资料。</w:t>
      </w:r>
    </w:p>
    <w:p w14:paraId="653629B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）监理人应在收到承包人提交的工程量报表后</w:t>
      </w:r>
      <w:r>
        <w:rPr>
          <w:rFonts w:ascii="宋体" w:hAnsi="宋体" w:cs="宋体"/>
          <w:color w:val="auto"/>
          <w:kern w:val="0"/>
          <w:szCs w:val="21"/>
          <w:highlight w:val="none"/>
        </w:rPr>
        <w:t>7</w:t>
      </w:r>
      <w:r>
        <w:rPr>
          <w:rFonts w:hint="eastAsia" w:ascii="宋体" w:hAnsi="宋体" w:cs="宋体"/>
          <w:color w:val="auto"/>
          <w:kern w:val="0"/>
          <w:szCs w:val="21"/>
          <w:highlight w:val="none"/>
        </w:rPr>
        <w:t>天内完成对承包人提交的工程量报表的审核并报送发包人；发包人收到监理人报送资料后</w:t>
      </w:r>
      <w:r>
        <w:rPr>
          <w:rFonts w:ascii="宋体" w:hAnsi="宋体" w:cs="宋体"/>
          <w:color w:val="auto"/>
          <w:kern w:val="0"/>
          <w:szCs w:val="21"/>
          <w:highlight w:val="none"/>
        </w:rPr>
        <w:t>7</w:t>
      </w:r>
      <w:r>
        <w:rPr>
          <w:rFonts w:hint="eastAsia" w:ascii="宋体" w:hAnsi="宋体" w:cs="宋体"/>
          <w:color w:val="auto"/>
          <w:kern w:val="0"/>
          <w:szCs w:val="21"/>
          <w:highlight w:val="none"/>
        </w:rPr>
        <w:t>天内完成审批，以确定当月实际完成的工程量。监理人、跟审单位（如有）、发包人任一方对工程量有异议的，均有权要求承包人进行共同复核或抽样复测。承包人应协助监理人、跟审单位（如有）进行复核或抽样复测，并按监理人要求提供补充计量资料。承包人未按监理人要求参加复核或抽样复测的，监理人复核或修正的工程量视为承包人实际完成的工程量。</w:t>
      </w:r>
    </w:p>
    <w:p w14:paraId="2DA4213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）工程量的计量仅作为进度付款和工程施工进度控制的依据，不应认为是承包人履行合同义务完成工程的实际和准确的工程量，实际和准确工程量按竣工图和第</w:t>
      </w:r>
      <w:r>
        <w:rPr>
          <w:rFonts w:ascii="宋体" w:hAnsi="宋体" w:cs="宋体"/>
          <w:color w:val="auto"/>
          <w:kern w:val="0"/>
          <w:szCs w:val="21"/>
          <w:highlight w:val="none"/>
        </w:rPr>
        <w:t>14.1.3.1</w:t>
      </w:r>
      <w:r>
        <w:rPr>
          <w:rFonts w:hint="eastAsia" w:ascii="宋体" w:hAnsi="宋体" w:cs="宋体"/>
          <w:color w:val="auto"/>
          <w:kern w:val="0"/>
          <w:szCs w:val="21"/>
          <w:highlight w:val="none"/>
        </w:rPr>
        <w:t>目</w:t>
      </w:r>
      <w:r>
        <w:rPr>
          <w:rFonts w:ascii="宋体" w:hAnsi="宋体" w:cs="宋体"/>
          <w:color w:val="auto"/>
          <w:kern w:val="0"/>
          <w:szCs w:val="21"/>
          <w:highlight w:val="none"/>
        </w:rPr>
        <w:t>[</w:t>
      </w:r>
      <w:r>
        <w:rPr>
          <w:rFonts w:hint="eastAsia" w:ascii="宋体" w:hAnsi="宋体" w:cs="宋体"/>
          <w:color w:val="auto"/>
          <w:kern w:val="0"/>
          <w:szCs w:val="21"/>
          <w:highlight w:val="none"/>
        </w:rPr>
        <w:t>计量原则</w:t>
      </w:r>
      <w:r>
        <w:rPr>
          <w:rFonts w:ascii="宋体" w:hAnsi="宋体" w:cs="宋体"/>
          <w:color w:val="auto"/>
          <w:kern w:val="0"/>
          <w:szCs w:val="21"/>
          <w:highlight w:val="none"/>
        </w:rPr>
        <w:t>]</w:t>
      </w:r>
      <w:r>
        <w:rPr>
          <w:rFonts w:hint="eastAsia" w:ascii="宋体" w:hAnsi="宋体" w:cs="宋体"/>
          <w:color w:val="auto"/>
          <w:kern w:val="0"/>
          <w:szCs w:val="21"/>
          <w:highlight w:val="none"/>
        </w:rPr>
        <w:t>约定确认的工程量为准。</w:t>
      </w:r>
    </w:p>
    <w:p w14:paraId="1F328D7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14.1.3.5</w:t>
      </w:r>
      <w:r>
        <w:rPr>
          <w:rFonts w:hint="eastAsia" w:ascii="宋体" w:hAnsi="宋体" w:cs="宋体"/>
          <w:color w:val="auto"/>
          <w:kern w:val="0"/>
          <w:szCs w:val="21"/>
          <w:highlight w:val="none"/>
        </w:rPr>
        <w:t>其他价格形式合同的计量</w:t>
      </w:r>
    </w:p>
    <w:p w14:paraId="5A88561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其他价格形式的计量方式和程序：不采用。</w:t>
      </w:r>
    </w:p>
    <w:p w14:paraId="095FD6D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14.2 </w:t>
      </w:r>
      <w:r>
        <w:rPr>
          <w:rFonts w:hint="eastAsia" w:ascii="宋体" w:hAnsi="宋体" w:cs="宋体"/>
          <w:color w:val="auto"/>
          <w:kern w:val="0"/>
          <w:szCs w:val="21"/>
          <w:highlight w:val="none"/>
        </w:rPr>
        <w:t>预付款</w:t>
      </w:r>
    </w:p>
    <w:p w14:paraId="5F575C5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14.2.1</w:t>
      </w:r>
      <w:r>
        <w:rPr>
          <w:rFonts w:hint="eastAsia" w:ascii="宋体" w:hAnsi="宋体" w:cs="宋体"/>
          <w:color w:val="auto"/>
          <w:kern w:val="0"/>
          <w:szCs w:val="21"/>
          <w:highlight w:val="none"/>
        </w:rPr>
        <w:t>预付款支付</w:t>
      </w:r>
    </w:p>
    <w:p w14:paraId="0E300F8C">
      <w:pPr>
        <w:widowControl/>
        <w:spacing w:line="480" w:lineRule="exact"/>
        <w:ind w:firstLine="420" w:firstLineChars="200"/>
        <w:jc w:val="left"/>
        <w:rPr>
          <w:rFonts w:ascii="宋体" w:hAnsi="宋体" w:cs="宋体"/>
          <w:color w:val="auto"/>
          <w:kern w:val="0"/>
          <w:highlight w:val="none"/>
          <w:u w:val="single"/>
        </w:rPr>
      </w:pPr>
      <w:r>
        <w:rPr>
          <w:rFonts w:hint="eastAsia" w:ascii="宋体" w:hAnsi="宋体" w:cs="宋体"/>
          <w:color w:val="auto"/>
          <w:kern w:val="0"/>
          <w:szCs w:val="21"/>
          <w:highlight w:val="none"/>
        </w:rPr>
        <w:t>预付款的金额或比例为：</w:t>
      </w:r>
      <w:r>
        <w:rPr>
          <w:rFonts w:hint="eastAsia" w:ascii="宋体" w:hAnsi="宋体" w:cs="宋体"/>
          <w:color w:val="auto"/>
          <w:kern w:val="0"/>
          <w:szCs w:val="21"/>
          <w:highlight w:val="none"/>
          <w:u w:val="single"/>
        </w:rPr>
        <w:t>无</w:t>
      </w:r>
    </w:p>
    <w:p w14:paraId="5ECFA320">
      <w:pPr>
        <w:widowControl/>
        <w:spacing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预付款支付期限：</w:t>
      </w:r>
      <w:r>
        <w:rPr>
          <w:rFonts w:hint="eastAsia" w:ascii="宋体" w:hAnsi="宋体" w:cs="宋体"/>
          <w:color w:val="auto"/>
          <w:kern w:val="0"/>
          <w:szCs w:val="21"/>
          <w:highlight w:val="none"/>
          <w:u w:val="single"/>
          <w:lang w:bidi="ar"/>
        </w:rPr>
        <w:t>无。</w:t>
      </w:r>
    </w:p>
    <w:p w14:paraId="150C7A55">
      <w:pPr>
        <w:widowControl/>
        <w:spacing w:line="4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预付款扣回的方式：</w:t>
      </w:r>
      <w:r>
        <w:rPr>
          <w:rFonts w:hint="eastAsia" w:ascii="宋体" w:hAnsi="宋体" w:cs="宋体"/>
          <w:color w:val="auto"/>
          <w:kern w:val="0"/>
          <w:szCs w:val="21"/>
          <w:highlight w:val="none"/>
          <w:u w:val="single"/>
          <w:lang w:bidi="ar"/>
        </w:rPr>
        <w:t>无</w:t>
      </w:r>
      <w:r>
        <w:rPr>
          <w:rFonts w:hint="eastAsia" w:ascii="宋体" w:hAnsi="宋体" w:cs="宋体"/>
          <w:color w:val="auto"/>
          <w:kern w:val="0"/>
          <w:szCs w:val="21"/>
          <w:highlight w:val="none"/>
          <w:u w:val="single"/>
        </w:rPr>
        <w:t>。</w:t>
      </w:r>
    </w:p>
    <w:p w14:paraId="2B5D667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14.2.2</w:t>
      </w:r>
      <w:r>
        <w:rPr>
          <w:rFonts w:hint="eastAsia" w:ascii="宋体" w:hAnsi="宋体" w:cs="宋体"/>
          <w:color w:val="auto"/>
          <w:kern w:val="0"/>
          <w:szCs w:val="21"/>
          <w:highlight w:val="none"/>
        </w:rPr>
        <w:t>预付款担保</w:t>
      </w:r>
    </w:p>
    <w:p w14:paraId="4091850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在以下方式中选择其一，作为双方对预付款担保的约定。</w:t>
      </w:r>
    </w:p>
    <w:p w14:paraId="37D86C3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☑承包人不提交预付款担保。</w:t>
      </w:r>
    </w:p>
    <w:p w14:paraId="089E5F7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□承包人提交预付款担保的时间。</w:t>
      </w:r>
    </w:p>
    <w:p w14:paraId="7A5912A7">
      <w:pPr>
        <w:widowControl/>
        <w:spacing w:line="4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预付款担保的形式为：</w:t>
      </w:r>
      <w:r>
        <w:rPr>
          <w:rFonts w:hint="eastAsia" w:ascii="宋体" w:hAnsi="宋体" w:cs="宋体"/>
          <w:color w:val="auto"/>
          <w:kern w:val="0"/>
          <w:szCs w:val="21"/>
          <w:highlight w:val="none"/>
          <w:u w:val="single"/>
        </w:rPr>
        <w:t xml:space="preserve">  /   </w:t>
      </w:r>
    </w:p>
    <w:p w14:paraId="409FDCC7">
      <w:pPr>
        <w:widowControl/>
        <w:spacing w:line="480" w:lineRule="exact"/>
        <w:ind w:firstLine="420" w:firstLineChars="200"/>
        <w:jc w:val="left"/>
        <w:rPr>
          <w:rFonts w:ascii="宋体" w:hAnsi="宋体" w:cs="宋体"/>
          <w:color w:val="auto"/>
          <w:kern w:val="0"/>
          <w:szCs w:val="21"/>
          <w:highlight w:val="none"/>
          <w:u w:val="single"/>
          <w:lang w:bidi="ar"/>
        </w:rPr>
      </w:pPr>
      <w:r>
        <w:rPr>
          <w:rFonts w:hint="eastAsia" w:ascii="宋体" w:hAnsi="宋体" w:cs="宋体"/>
          <w:color w:val="auto"/>
          <w:kern w:val="0"/>
          <w:szCs w:val="21"/>
          <w:highlight w:val="none"/>
        </w:rPr>
        <w:t>预付款担保的金额：</w:t>
      </w:r>
      <w:r>
        <w:rPr>
          <w:rFonts w:hint="eastAsia" w:ascii="宋体" w:hAnsi="宋体" w:cs="宋体"/>
          <w:color w:val="auto"/>
          <w:kern w:val="0"/>
          <w:szCs w:val="21"/>
          <w:highlight w:val="none"/>
          <w:u w:val="single"/>
        </w:rPr>
        <w:t xml:space="preserve">  /   </w:t>
      </w:r>
    </w:p>
    <w:p w14:paraId="0FFD5CB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预付款担保的期限：</w:t>
      </w:r>
      <w:r>
        <w:rPr>
          <w:rFonts w:hint="eastAsia" w:ascii="宋体" w:hAnsi="宋体" w:cs="宋体"/>
          <w:color w:val="auto"/>
          <w:kern w:val="0"/>
          <w:szCs w:val="21"/>
          <w:highlight w:val="none"/>
          <w:u w:val="single"/>
        </w:rPr>
        <w:t xml:space="preserve">  /   </w:t>
      </w:r>
    </w:p>
    <w:p w14:paraId="4C5CC5E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预付款担保的退还时间：</w:t>
      </w:r>
      <w:r>
        <w:rPr>
          <w:rFonts w:hint="eastAsia" w:ascii="宋体" w:hAnsi="宋体" w:cs="宋体"/>
          <w:color w:val="auto"/>
          <w:kern w:val="0"/>
          <w:szCs w:val="21"/>
          <w:highlight w:val="none"/>
          <w:u w:val="single"/>
        </w:rPr>
        <w:t xml:space="preserve">  /   </w:t>
      </w:r>
    </w:p>
    <w:p w14:paraId="42F3B9E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14.3 </w:t>
      </w:r>
      <w:r>
        <w:rPr>
          <w:rFonts w:hint="eastAsia" w:ascii="宋体" w:hAnsi="宋体" w:cs="宋体"/>
          <w:color w:val="auto"/>
          <w:kern w:val="0"/>
          <w:szCs w:val="21"/>
          <w:highlight w:val="none"/>
        </w:rPr>
        <w:t>工程进度款</w:t>
      </w:r>
    </w:p>
    <w:p w14:paraId="732253F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14.4 </w:t>
      </w:r>
      <w:r>
        <w:rPr>
          <w:rFonts w:hint="eastAsia" w:ascii="宋体" w:hAnsi="宋体" w:cs="宋体"/>
          <w:color w:val="auto"/>
          <w:kern w:val="0"/>
          <w:szCs w:val="21"/>
          <w:highlight w:val="none"/>
        </w:rPr>
        <w:t>付款计划表</w:t>
      </w:r>
    </w:p>
    <w:p w14:paraId="49D225D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本合同工程不采用合同通用条件约定的付款计划表方式，进度款支付采用下列方式：施工款支付</w:t>
      </w:r>
    </w:p>
    <w:p w14:paraId="7CA9F34A">
      <w:pPr>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工程竣工验收合格后，发包人向承包人支付至合同金额的80%；完成结算审核后，发包人向承包人支付至结算审定金额的97%；缺陷责任期满后发包人向承包人退还质量保证金（无息）。</w:t>
      </w:r>
    </w:p>
    <w:p w14:paraId="55DE4CD0">
      <w:pPr>
        <w:pStyle w:val="2"/>
        <w:ind w:firstLine="420" w:firstLineChars="200"/>
        <w:rPr>
          <w:color w:val="auto"/>
          <w:highlight w:val="none"/>
        </w:rPr>
      </w:pPr>
      <w:r>
        <w:rPr>
          <w:rFonts w:hint="eastAsia" w:ascii="宋体" w:hAnsi="宋体" w:cs="宋体"/>
          <w:color w:val="auto"/>
          <w:kern w:val="0"/>
          <w:szCs w:val="21"/>
          <w:highlight w:val="none"/>
        </w:rPr>
        <w:t>所有付款均需承包人出具相应增值税发票后进行支付，否则发包人有权顺延付款期限。</w:t>
      </w:r>
    </w:p>
    <w:p w14:paraId="20E9ED8A">
      <w:pPr>
        <w:pStyle w:val="2"/>
        <w:ind w:firstLine="422" w:firstLineChars="200"/>
        <w:rPr>
          <w:b/>
          <w:bCs/>
          <w:color w:val="auto"/>
          <w:highlight w:val="none"/>
        </w:rPr>
      </w:pPr>
      <w:r>
        <w:rPr>
          <w:rFonts w:hint="eastAsia"/>
          <w:b/>
          <w:bCs/>
          <w:color w:val="auto"/>
          <w:highlight w:val="none"/>
        </w:rPr>
        <w:t>注：1、为了减少由于拖欠农民工工资引起的上访、停窝工现象，避免农民工工资被拖欠或挪用，农民工工资管理及发放按以下标准执行：</w:t>
      </w:r>
    </w:p>
    <w:p w14:paraId="3394D3D4">
      <w:pPr>
        <w:autoSpaceDE w:val="0"/>
        <w:autoSpaceDN w:val="0"/>
        <w:adjustRightInd w:val="0"/>
        <w:snapToGrid w:val="0"/>
        <w:spacing w:line="360" w:lineRule="auto"/>
        <w:ind w:firstLine="632" w:firstLineChars="3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承包人在施工合同签订后15日内应向发包人支付农民工工资保证金。农民工工资保证金金额为本项目人工费（建筑工程为签约合同价的25%，市政工程为签约合同价的15%）的3%，可采取现金或银行、金融机构出具的不可撤销、见索即付的保函方式向发包人提交；采取现金方式的，承包人应将农民工工资保证金缴纳至发包人指定账户（户名： 账号： 开户行： ）；采取保函方式的，承包人在规定期限内向发包人提交。未按时足额支付农民工工资保证金或提交保函的，不允许进场施工，由此造成的工期延误、停窝工损失等概由承包人承担。</w:t>
      </w:r>
    </w:p>
    <w:p w14:paraId="09EFE356">
      <w:pPr>
        <w:pStyle w:val="2"/>
        <w:ind w:firstLine="422" w:firstLineChars="200"/>
        <w:rPr>
          <w:b/>
          <w:bCs/>
          <w:color w:val="auto"/>
          <w:highlight w:val="none"/>
        </w:rPr>
      </w:pPr>
      <w:r>
        <w:rPr>
          <w:rFonts w:hint="eastAsia"/>
          <w:b/>
          <w:bCs/>
          <w:color w:val="auto"/>
          <w:highlight w:val="none"/>
        </w:rPr>
        <w:t>（2）承包人应当落实建筑工人实名制管理各项措施，建立用工管理台账和工资支付台账，具体要求详见附件4：保障建筑工人工资支付协议。</w:t>
      </w:r>
    </w:p>
    <w:p w14:paraId="6D712606">
      <w:pPr>
        <w:pStyle w:val="2"/>
        <w:ind w:firstLine="422" w:firstLineChars="200"/>
        <w:rPr>
          <w:b/>
          <w:bCs/>
          <w:color w:val="auto"/>
          <w:highlight w:val="none"/>
        </w:rPr>
      </w:pPr>
      <w:r>
        <w:rPr>
          <w:rFonts w:hint="eastAsia"/>
          <w:b/>
          <w:bCs/>
          <w:color w:val="auto"/>
          <w:highlight w:val="none"/>
        </w:rPr>
        <w:t>（3）农民工工资支付按下列流程办理：</w:t>
      </w:r>
    </w:p>
    <w:p w14:paraId="23ABBD05">
      <w:pPr>
        <w:pStyle w:val="2"/>
        <w:ind w:firstLine="632" w:firstLineChars="300"/>
        <w:rPr>
          <w:b/>
          <w:bCs/>
          <w:color w:val="auto"/>
          <w:highlight w:val="none"/>
        </w:rPr>
      </w:pPr>
      <w:r>
        <w:rPr>
          <w:rFonts w:hint="eastAsia"/>
          <w:b/>
          <w:bCs/>
          <w:color w:val="auto"/>
          <w:highlight w:val="none"/>
        </w:rPr>
        <w:t>①承包人按月报送工程项目的产值进度表、用工台账、工资支付台账（包含实际的农民工工资花名册），由发包人、监理单位审核项目月度产值、两台账和现场核实用工台账。</w:t>
      </w:r>
    </w:p>
    <w:p w14:paraId="6CDB0E12">
      <w:pPr>
        <w:pStyle w:val="2"/>
        <w:ind w:firstLine="632" w:firstLineChars="300"/>
        <w:rPr>
          <w:b/>
          <w:bCs/>
          <w:color w:val="auto"/>
          <w:highlight w:val="none"/>
        </w:rPr>
      </w:pPr>
      <w:r>
        <w:rPr>
          <w:rFonts w:hint="eastAsia"/>
          <w:b/>
          <w:bCs/>
          <w:color w:val="auto"/>
          <w:highlight w:val="none"/>
        </w:rPr>
        <w:t>②上述资料审核和核实完毕后，发包人按照审核的农民工工资费用，支付至工程项目专用账户，由银行将工资代发至每个农民工（按照各方审核农民工的花名册及金额）。</w:t>
      </w:r>
    </w:p>
    <w:p w14:paraId="60DF3A48">
      <w:pPr>
        <w:pStyle w:val="2"/>
        <w:ind w:firstLine="632" w:firstLineChars="300"/>
        <w:rPr>
          <w:b/>
          <w:bCs/>
          <w:color w:val="auto"/>
          <w:highlight w:val="none"/>
        </w:rPr>
      </w:pPr>
      <w:r>
        <w:rPr>
          <w:rFonts w:hint="eastAsia"/>
          <w:b/>
          <w:bCs/>
          <w:color w:val="auto"/>
          <w:highlight w:val="none"/>
        </w:rPr>
        <w:t>③如专用账户中余额不足以支付当期已审核工资费用，或累计支付农民工工资费用超过合同约定拨付比例的，由发包人从当期应付工程款中扣除。</w:t>
      </w:r>
    </w:p>
    <w:p w14:paraId="4CD52F17">
      <w:pPr>
        <w:autoSpaceDE w:val="0"/>
        <w:autoSpaceDN w:val="0"/>
        <w:adjustRightInd w:val="0"/>
        <w:snapToGrid w:val="0"/>
        <w:spacing w:line="360" w:lineRule="auto"/>
        <w:ind w:firstLine="632" w:firstLineChars="300"/>
        <w:jc w:val="left"/>
        <w:rPr>
          <w:rFonts w:ascii="宋体" w:hAnsi="宋体" w:cs="宋体"/>
          <w:color w:val="auto"/>
          <w:kern w:val="0"/>
          <w:szCs w:val="21"/>
          <w:highlight w:val="none"/>
        </w:rPr>
      </w:pPr>
      <w:r>
        <w:rPr>
          <w:rFonts w:hint="eastAsia" w:ascii="宋体" w:hAnsi="宋体" w:cs="宋体"/>
          <w:b/>
          <w:bCs/>
          <w:color w:val="auto"/>
          <w:kern w:val="0"/>
          <w:szCs w:val="21"/>
          <w:highlight w:val="none"/>
        </w:rPr>
        <w:t>（4）工程项目专用账户的撤销及农民工工资保证金的退还：工程竣工验收合格且发包人完成结算内审工作后，承包人将本工程无拖欠农民工工资情况公示30日，公示地点为工程项目部；同时向发包人出具无拖欠农民工工资承诺书。公示结束后，由承包人再次核查和告知本项目的农民工，确定无拖欠农民工工资的事件，报经发包人同意后，承包人方可撤销专用账户，专用账户中的余额归承包人所有，同时由发包人将农民工工资保证金（现金或保函）无息退还施工单位。</w:t>
      </w:r>
    </w:p>
    <w:p w14:paraId="1B2E307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14.5 </w:t>
      </w:r>
      <w:r>
        <w:rPr>
          <w:rFonts w:hint="eastAsia" w:ascii="宋体" w:hAnsi="宋体" w:cs="宋体"/>
          <w:color w:val="auto"/>
          <w:kern w:val="0"/>
          <w:szCs w:val="21"/>
          <w:highlight w:val="none"/>
        </w:rPr>
        <w:t>竣工结算</w:t>
      </w:r>
    </w:p>
    <w:p w14:paraId="32EE2EF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14.5.1 </w:t>
      </w:r>
      <w:r>
        <w:rPr>
          <w:rFonts w:hint="eastAsia" w:ascii="宋体" w:hAnsi="宋体" w:cs="宋体"/>
          <w:color w:val="auto"/>
          <w:kern w:val="0"/>
          <w:szCs w:val="21"/>
          <w:highlight w:val="none"/>
        </w:rPr>
        <w:t>竣工结算申请</w:t>
      </w:r>
    </w:p>
    <w:p w14:paraId="72565D0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承包人提交竣工结算申请的时间：</w:t>
      </w:r>
      <w:r>
        <w:rPr>
          <w:rFonts w:hint="eastAsia" w:ascii="宋体" w:hAnsi="宋体" w:cs="宋体"/>
          <w:color w:val="auto"/>
          <w:kern w:val="0"/>
          <w:szCs w:val="21"/>
          <w:highlight w:val="none"/>
          <w:u w:val="single"/>
        </w:rPr>
        <w:t>承包人应在工程完工验收合格且报送完整工程竣工资料之日起</w:t>
      </w:r>
      <w:r>
        <w:rPr>
          <w:rFonts w:ascii="宋体" w:hAnsi="宋体" w:cs="宋体"/>
          <w:color w:val="auto"/>
          <w:kern w:val="0"/>
          <w:szCs w:val="21"/>
          <w:highlight w:val="none"/>
          <w:u w:val="single"/>
        </w:rPr>
        <w:t>28</w:t>
      </w:r>
      <w:r>
        <w:rPr>
          <w:rFonts w:hint="eastAsia" w:ascii="宋体" w:hAnsi="宋体" w:cs="宋体"/>
          <w:color w:val="auto"/>
          <w:kern w:val="0"/>
          <w:szCs w:val="21"/>
          <w:highlight w:val="none"/>
          <w:u w:val="single"/>
        </w:rPr>
        <w:t>天内向监理人、发包人提交竣工结算申请单，并向发包人报送完整的工程完工资料及经监理人初审确认的完整的完工结算资料。监理人或发包人对完工结算申请单有异议的，应在接到完工结算申请单后</w:t>
      </w:r>
      <w:r>
        <w:rPr>
          <w:rFonts w:ascii="宋体" w:hAnsi="宋体" w:cs="宋体"/>
          <w:color w:val="auto"/>
          <w:kern w:val="0"/>
          <w:szCs w:val="21"/>
          <w:highlight w:val="none"/>
          <w:u w:val="single"/>
        </w:rPr>
        <w:t>14</w:t>
      </w:r>
      <w:r>
        <w:rPr>
          <w:rFonts w:hint="eastAsia" w:ascii="宋体" w:hAnsi="宋体" w:cs="宋体"/>
          <w:color w:val="auto"/>
          <w:kern w:val="0"/>
          <w:szCs w:val="21"/>
          <w:highlight w:val="none"/>
          <w:u w:val="single"/>
        </w:rPr>
        <w:t>天内要求承包人进行修正和提供补充资料，承包人在接到监理人或发包人提出的审核意见后，应在</w:t>
      </w:r>
      <w:r>
        <w:rPr>
          <w:rFonts w:ascii="宋体" w:hAnsi="宋体" w:cs="宋体"/>
          <w:color w:val="auto"/>
          <w:kern w:val="0"/>
          <w:szCs w:val="21"/>
          <w:highlight w:val="none"/>
          <w:u w:val="single"/>
        </w:rPr>
        <w:t>28</w:t>
      </w:r>
      <w:r>
        <w:rPr>
          <w:rFonts w:hint="eastAsia" w:ascii="宋体" w:hAnsi="宋体" w:cs="宋体"/>
          <w:color w:val="auto"/>
          <w:kern w:val="0"/>
          <w:szCs w:val="21"/>
          <w:highlight w:val="none"/>
          <w:u w:val="single"/>
        </w:rPr>
        <w:t>天内按监理人或发包人提出的合理要求补充资料、修改完工结算资料，并再次提交监理人或发包人审核。承包人未在规定时间内报送竣工结算资料给发包人造成经济损失的，承包人应承担赔偿责任。</w:t>
      </w:r>
    </w:p>
    <w:p w14:paraId="54B6296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竣工结算申请的资料清单和份数：</w:t>
      </w:r>
      <w:r>
        <w:rPr>
          <w:rFonts w:hint="eastAsia" w:ascii="宋体" w:hAnsi="宋体" w:cs="宋体"/>
          <w:color w:val="auto"/>
          <w:kern w:val="0"/>
          <w:szCs w:val="21"/>
          <w:highlight w:val="none"/>
          <w:u w:val="single"/>
        </w:rPr>
        <w:t xml:space="preserve">    6份   </w:t>
      </w:r>
      <w:r>
        <w:rPr>
          <w:rFonts w:hint="eastAsia" w:ascii="宋体" w:hAnsi="宋体" w:cs="宋体"/>
          <w:color w:val="auto"/>
          <w:kern w:val="0"/>
          <w:szCs w:val="21"/>
          <w:highlight w:val="none"/>
        </w:rPr>
        <w:t>。</w:t>
      </w:r>
    </w:p>
    <w:p w14:paraId="610D91D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竣工结算申请单的内容包括但不限于以下内容：</w:t>
      </w:r>
    </w:p>
    <w:p w14:paraId="0CC3D5C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）竣工结算合同价格；</w:t>
      </w:r>
    </w:p>
    <w:p w14:paraId="6BEB826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）变更增减金额；</w:t>
      </w:r>
    </w:p>
    <w:p w14:paraId="5F0ED50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）索赔增减金额；</w:t>
      </w:r>
    </w:p>
    <w:p w14:paraId="7187E2F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）奖励、罚金及违约金；</w:t>
      </w:r>
    </w:p>
    <w:p w14:paraId="38AE79D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）发包人已支付承包人的款项；</w:t>
      </w:r>
    </w:p>
    <w:p w14:paraId="28F4559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）采用第</w:t>
      </w:r>
      <w:r>
        <w:rPr>
          <w:rFonts w:ascii="宋体" w:hAnsi="宋体" w:cs="宋体"/>
          <w:color w:val="auto"/>
          <w:kern w:val="0"/>
          <w:szCs w:val="21"/>
          <w:highlight w:val="none"/>
        </w:rPr>
        <w:t>14.6.1</w:t>
      </w:r>
      <w:r>
        <w:rPr>
          <w:rFonts w:hint="eastAsia" w:ascii="宋体" w:hAnsi="宋体" w:cs="宋体"/>
          <w:color w:val="auto"/>
          <w:kern w:val="0"/>
          <w:szCs w:val="21"/>
          <w:highlight w:val="none"/>
        </w:rPr>
        <w:t>项</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承包人提供质量保证金的方式</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第</w:t>
      </w:r>
      <w:r>
        <w:rPr>
          <w:rFonts w:ascii="宋体" w:hAnsi="宋体" w:cs="宋体"/>
          <w:color w:val="auto"/>
          <w:kern w:val="0"/>
          <w:szCs w:val="21"/>
          <w:highlight w:val="none"/>
        </w:rPr>
        <w:t>(2)</w:t>
      </w:r>
      <w:r>
        <w:rPr>
          <w:rFonts w:hint="eastAsia" w:ascii="宋体" w:hAnsi="宋体" w:cs="宋体"/>
          <w:color w:val="auto"/>
          <w:kern w:val="0"/>
          <w:szCs w:val="21"/>
          <w:highlight w:val="none"/>
        </w:rPr>
        <w:t>种方式提供质量保证金的，应当列明应预留的质量保证金金额；采用第</w:t>
      </w:r>
      <w:r>
        <w:rPr>
          <w:rFonts w:ascii="宋体" w:hAnsi="宋体" w:cs="宋体"/>
          <w:color w:val="auto"/>
          <w:kern w:val="0"/>
          <w:szCs w:val="21"/>
          <w:highlight w:val="none"/>
        </w:rPr>
        <w:t>14.6.1</w:t>
      </w:r>
      <w:r>
        <w:rPr>
          <w:rFonts w:hint="eastAsia" w:ascii="宋体" w:hAnsi="宋体" w:cs="宋体"/>
          <w:color w:val="auto"/>
          <w:kern w:val="0"/>
          <w:szCs w:val="21"/>
          <w:highlight w:val="none"/>
        </w:rPr>
        <w:t>项</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承包人提供质量保证金的方式</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中其他方式提供质量保证金的，应当按第</w:t>
      </w:r>
      <w:r>
        <w:rPr>
          <w:rFonts w:ascii="宋体" w:hAnsi="宋体" w:cs="宋体"/>
          <w:color w:val="auto"/>
          <w:kern w:val="0"/>
          <w:szCs w:val="21"/>
          <w:highlight w:val="none"/>
        </w:rPr>
        <w:t>14.6</w:t>
      </w:r>
      <w:r>
        <w:rPr>
          <w:rFonts w:hint="eastAsia" w:ascii="宋体" w:hAnsi="宋体" w:cs="宋体"/>
          <w:color w:val="auto"/>
          <w:kern w:val="0"/>
          <w:szCs w:val="21"/>
          <w:highlight w:val="none"/>
        </w:rPr>
        <w:t>款</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质量保证金</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提供相关文件作为附件；；</w:t>
      </w:r>
    </w:p>
    <w:p w14:paraId="51F44F5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）发包人应支付承包人的合同价款；</w:t>
      </w:r>
    </w:p>
    <w:p w14:paraId="5A2F368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14.5.2</w:t>
      </w:r>
      <w:r>
        <w:rPr>
          <w:rFonts w:hint="eastAsia" w:ascii="宋体" w:hAnsi="宋体" w:cs="宋体"/>
          <w:color w:val="auto"/>
          <w:kern w:val="0"/>
          <w:szCs w:val="21"/>
          <w:highlight w:val="none"/>
        </w:rPr>
        <w:t>竣工结算审核</w:t>
      </w:r>
    </w:p>
    <w:p w14:paraId="0FDB6D1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监理人审核竣工付款申请单的期限：在收到竣工结算申请单后14天内。</w:t>
      </w:r>
    </w:p>
    <w:p w14:paraId="5622EF4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发包人审批竣工付款申请单的期限：收到监理人提交的经审核的竣工结算申请单后14天内。</w:t>
      </w:r>
    </w:p>
    <w:p w14:paraId="2488B7C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发包人完成竣工付款的期限：在签发竣工付款证书后的28天内。</w:t>
      </w:r>
    </w:p>
    <w:p w14:paraId="2803CE6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关于竣工付款证书异议部分复核的方式和程序：按照第</w:t>
      </w:r>
      <w:r>
        <w:rPr>
          <w:rFonts w:ascii="宋体" w:hAnsi="宋体" w:cs="宋体"/>
          <w:color w:val="auto"/>
          <w:kern w:val="0"/>
          <w:szCs w:val="21"/>
          <w:highlight w:val="none"/>
        </w:rPr>
        <w:t>20</w:t>
      </w:r>
      <w:r>
        <w:rPr>
          <w:rFonts w:hint="eastAsia" w:ascii="宋体" w:hAnsi="宋体" w:cs="宋体"/>
          <w:color w:val="auto"/>
          <w:kern w:val="0"/>
          <w:szCs w:val="21"/>
          <w:highlight w:val="none"/>
        </w:rPr>
        <w:t>条</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争议解决</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约定处理。</w:t>
      </w:r>
    </w:p>
    <w:p w14:paraId="699BB20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本款补充</w:t>
      </w:r>
      <w:r>
        <w:rPr>
          <w:rFonts w:ascii="宋体" w:hAnsi="宋体" w:cs="宋体"/>
          <w:color w:val="auto"/>
          <w:kern w:val="0"/>
          <w:szCs w:val="21"/>
          <w:highlight w:val="none"/>
        </w:rPr>
        <w:t>14.5.3</w:t>
      </w:r>
      <w:r>
        <w:rPr>
          <w:rFonts w:hint="eastAsia" w:ascii="宋体" w:hAnsi="宋体" w:cs="宋体"/>
          <w:color w:val="auto"/>
          <w:kern w:val="0"/>
          <w:szCs w:val="21"/>
          <w:highlight w:val="none"/>
        </w:rPr>
        <w:t>项：</w:t>
      </w:r>
    </w:p>
    <w:p w14:paraId="5ABCE82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14.5.3 </w:t>
      </w:r>
      <w:r>
        <w:rPr>
          <w:rFonts w:hint="eastAsia" w:ascii="宋体" w:hAnsi="宋体" w:cs="宋体"/>
          <w:color w:val="auto"/>
          <w:kern w:val="0"/>
          <w:szCs w:val="21"/>
          <w:highlight w:val="none"/>
        </w:rPr>
        <w:t>竣工结算原则</w:t>
      </w:r>
    </w:p>
    <w:p w14:paraId="43DB918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合同工程竣工结算价</w:t>
      </w:r>
      <w:r>
        <w:rPr>
          <w:rFonts w:ascii="宋体" w:hAnsi="宋体" w:cs="宋体"/>
          <w:color w:val="auto"/>
          <w:kern w:val="0"/>
          <w:szCs w:val="21"/>
          <w:highlight w:val="none"/>
        </w:rPr>
        <w:t>=</w:t>
      </w:r>
      <w:r>
        <w:rPr>
          <w:rFonts w:hint="eastAsia" w:ascii="宋体" w:hAnsi="宋体" w:cs="宋体"/>
          <w:color w:val="auto"/>
          <w:kern w:val="0"/>
          <w:szCs w:val="21"/>
          <w:highlight w:val="none"/>
        </w:rPr>
        <w:t>建筑安装工程费结算价±合同约定的其他费用。</w:t>
      </w:r>
    </w:p>
    <w:p w14:paraId="56A48F68">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合同工程竣工结算价原则上按上述公式结算，专业设备材料费、建筑安装工程费分项单独结算。合同工程竣工结算价</w:t>
      </w:r>
      <w:r>
        <w:rPr>
          <w:rFonts w:ascii="宋体" w:hAnsi="宋体" w:cs="宋体"/>
          <w:color w:val="auto"/>
          <w:kern w:val="0"/>
          <w:szCs w:val="21"/>
          <w:highlight w:val="none"/>
        </w:rPr>
        <w:t>=</w:t>
      </w:r>
      <w:r>
        <w:rPr>
          <w:rFonts w:hint="eastAsia" w:ascii="宋体" w:hAnsi="宋体" w:cs="宋体"/>
          <w:color w:val="auto"/>
          <w:kern w:val="0"/>
          <w:szCs w:val="21"/>
          <w:highlight w:val="none"/>
        </w:rPr>
        <w:t>中标总价±合同约定的其他费用。</w:t>
      </w:r>
    </w:p>
    <w:p w14:paraId="72C08F8E">
      <w:pPr>
        <w:widowControl/>
        <w:adjustRightInd w:val="0"/>
        <w:snapToGrid w:val="0"/>
        <w:spacing w:after="163" w:afterLines="50" w:line="480" w:lineRule="exact"/>
        <w:ind w:firstLine="420" w:firstLineChars="200"/>
        <w:rPr>
          <w:color w:val="auto"/>
          <w:highlight w:val="none"/>
        </w:rPr>
      </w:pPr>
      <w:r>
        <w:rPr>
          <w:rFonts w:hint="eastAsia"/>
          <w:color w:val="auto"/>
          <w:highlight w:val="none"/>
        </w:rPr>
        <w:t>合同约定的其他费用包括</w:t>
      </w:r>
      <w:r>
        <w:rPr>
          <w:rFonts w:hint="eastAsia" w:ascii="宋体" w:hAnsi="宋体" w:cs="宋体"/>
          <w:color w:val="auto"/>
          <w:kern w:val="0"/>
          <w:szCs w:val="21"/>
          <w:highlight w:val="none"/>
          <w:u w:val="single"/>
        </w:rPr>
        <w:t>变更结算金额、索赔赔付金额、奖励、罚金、违约金等。</w:t>
      </w:r>
    </w:p>
    <w:p w14:paraId="153EB86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当按结算原则计算出的合同工程竣工结算价超过批准概算金额的，以概算金额为限价进行结算（发生重大设计变更的情况除外）。</w:t>
      </w:r>
    </w:p>
    <w:p w14:paraId="68917F8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14.5.3.3</w:t>
      </w:r>
      <w:r>
        <w:rPr>
          <w:rFonts w:hint="eastAsia" w:ascii="宋体" w:hAnsi="宋体" w:cs="宋体"/>
          <w:color w:val="auto"/>
          <w:kern w:val="0"/>
          <w:szCs w:val="21"/>
          <w:highlight w:val="none"/>
        </w:rPr>
        <w:t>建筑安装工程费结算原则</w:t>
      </w:r>
    </w:p>
    <w:p w14:paraId="48779544">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MS Gothic" w:hAnsi="MS Gothic" w:eastAsia="MS Gothic" w:cs="MS Gothic"/>
          <w:color w:val="auto"/>
          <w:kern w:val="0"/>
          <w:szCs w:val="21"/>
          <w:highlight w:val="none"/>
          <w:u w:val="single"/>
        </w:rPr>
        <w:t>☑</w:t>
      </w:r>
      <w:r>
        <w:rPr>
          <w:rFonts w:hint="eastAsia" w:ascii="宋体" w:hAnsi="宋体" w:cs="宋体"/>
          <w:color w:val="auto"/>
          <w:kern w:val="0"/>
          <w:szCs w:val="21"/>
          <w:highlight w:val="none"/>
          <w:u w:val="single"/>
        </w:rPr>
        <w:t>采用固定费率合同</w:t>
      </w:r>
      <w:r>
        <w:rPr>
          <w:rFonts w:hint="eastAsia" w:ascii="宋体" w:hAnsi="宋体" w:cs="宋体"/>
          <w:color w:val="auto"/>
          <w:kern w:val="0"/>
          <w:szCs w:val="21"/>
          <w:highlight w:val="none"/>
        </w:rPr>
        <w:t>，本工程根据发包人委托的中介机构出具的综合单价，执行固定下浮比例合同。</w:t>
      </w:r>
    </w:p>
    <w:p w14:paraId="46E328E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结算总价=【分部分项工程量清单综合单价*实际完成工程量＋措施项目费（安全文明施工费除外）＋设计变更、工程量清单漏项或新增项目价款合同约定其它费用+规费】*中标下浮比例+安全文明施工费+税金</w:t>
      </w:r>
    </w:p>
    <w:p w14:paraId="15160BB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1.分部分项工程量清单综合单价按发包人委托的中介机构出具综合单价结算，且不因实际完成工程量的变化而调整。</w:t>
      </w:r>
    </w:p>
    <w:p w14:paraId="1A5F29F4">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（1）分部分项工程量清单综合单价计价原则按《建设工程工程量清单计价规范》（GB50500-2013）、《重庆市建设工程工程量清单计价规则》（CQJJGZ-2013）、《房屋建筑与装饰工程 工程量计算规范》（GB50854-2013）、《重庆市建设工程工程量计算规则》 （CQJLGZ-2013）、《重庆市城乡建设委员会关于建筑业营业税改征增值税调整建设工程计价依据的通知》（渝建发【2016】35 号）、 《关于调整增值税税率的通知》财税&lt;2018&gt;32 号、《关于适用增值税新税率调整建设工程计价依据的通知》（渝建【2019】143 号）、《重庆市房屋建筑与装饰工程计价定额》（CQJZZSDE-2018）、《重庆市仿古建筑工程计价定额》(CQFGDE 2018）、《重庆市通用安装工程计价定额》（CQAZDE-2018）、 《重庆市市政工程计价定额》（CQSZDE-2018）、《 重 庆 市 构 筑 物 工 程 计 价 定 额 》 （CQGZWDE-2018）、《重庆市爆破工程计价定额》（CQBPDE-2018）、《重庆市房屋修缮工程计价定额》（CQXSDE-2018）、《重庆市绿色建筑工程计价定额》（CQLSJZDE-2018）、《重庆市建设工程施工机械台班定额》 （ CQJXDE-2018 ）、《 重 庆 市 建 设 工 程 施 工 仪 器 仪 表 台 班 定 额 》 （CQYQYBDE-2018）、《重庆市建设工程混凝土及砂浆配合比 表》 （CQPHBB-2018）、《重庆市建设工程费用定额》（CQFYDE-2018）以及相关配套文件为依据）。【其中：人工工日单价按评审当期的重庆市住房和城乡建设工程造价总站主办的《重庆工程造价》</w:t>
      </w:r>
      <w:r>
        <w:rPr>
          <w:rFonts w:hint="eastAsia" w:ascii="宋体" w:hAnsi="宋体" w:cs="宋体"/>
          <w:color w:val="auto"/>
          <w:kern w:val="0"/>
          <w:szCs w:val="21"/>
          <w:highlight w:val="none"/>
          <w:lang w:eastAsia="zh-CN"/>
        </w:rPr>
        <w:t>前</w:t>
      </w:r>
      <w:r>
        <w:rPr>
          <w:rFonts w:ascii="宋体" w:hAnsi="宋体" w:cs="宋体"/>
          <w:color w:val="auto"/>
          <w:kern w:val="0"/>
          <w:szCs w:val="21"/>
          <w:highlight w:val="none"/>
        </w:rPr>
        <w:t>一季度执行。材料价格按重庆市住房和城乡建设工程造价总站主办的《重庆工程造价》</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eastAsia="zh-CN"/>
        </w:rPr>
        <w:t>开标档期</w:t>
      </w:r>
      <w:r>
        <w:rPr>
          <w:rFonts w:ascii="宋体" w:hAnsi="宋体" w:cs="宋体"/>
          <w:color w:val="auto"/>
          <w:kern w:val="0"/>
          <w:szCs w:val="21"/>
          <w:highlight w:val="none"/>
        </w:rPr>
        <w:t>公布的信息价</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；若</w:t>
      </w:r>
      <w:r>
        <w:rPr>
          <w:rFonts w:hint="eastAsia" w:ascii="宋体" w:hAnsi="宋体" w:cs="宋体"/>
          <w:color w:val="auto"/>
          <w:kern w:val="0"/>
          <w:szCs w:val="21"/>
          <w:highlight w:val="none"/>
        </w:rPr>
        <w:t>结算时，部分主材</w:t>
      </w:r>
      <w:r>
        <w:rPr>
          <w:rFonts w:ascii="宋体" w:hAnsi="宋体" w:cs="宋体"/>
          <w:color w:val="auto"/>
          <w:kern w:val="0"/>
          <w:szCs w:val="21"/>
          <w:highlight w:val="none"/>
        </w:rPr>
        <w:t>重庆市住房和城乡建设工程造价总站主办的《重庆工程造价》中没有的材料价格或</w:t>
      </w:r>
      <w:r>
        <w:rPr>
          <w:rFonts w:hint="eastAsia" w:ascii="宋体" w:hAnsi="宋体" w:cs="宋体"/>
          <w:color w:val="auto"/>
          <w:kern w:val="0"/>
          <w:szCs w:val="21"/>
          <w:highlight w:val="none"/>
        </w:rPr>
        <w:t>编制</w:t>
      </w:r>
      <w:r>
        <w:rPr>
          <w:rFonts w:ascii="宋体" w:hAnsi="宋体" w:cs="宋体"/>
          <w:color w:val="auto"/>
          <w:kern w:val="0"/>
          <w:szCs w:val="21"/>
          <w:highlight w:val="none"/>
        </w:rPr>
        <w:t>时以暂估价形式计列的材料由</w:t>
      </w:r>
      <w:r>
        <w:rPr>
          <w:rFonts w:hint="eastAsia" w:ascii="宋体" w:hAnsi="宋体" w:cs="宋体"/>
          <w:color w:val="auto"/>
          <w:kern w:val="0"/>
          <w:szCs w:val="21"/>
          <w:highlight w:val="none"/>
        </w:rPr>
        <w:t>发包人、代理业主和监理共同认质核价</w:t>
      </w:r>
      <w:r>
        <w:rPr>
          <w:rFonts w:ascii="宋体" w:hAnsi="宋体" w:cs="宋体"/>
          <w:color w:val="auto"/>
          <w:kern w:val="0"/>
          <w:szCs w:val="21"/>
          <w:highlight w:val="none"/>
        </w:rPr>
        <w:t xml:space="preserve">，由承包人报发包人按程序审批后确认。认质认价部分材料不参与总价下浮。】 </w:t>
      </w:r>
    </w:p>
    <w:p w14:paraId="08A0C89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 xml:space="preserve"> 工程量按实际合格计算； </w:t>
      </w:r>
    </w:p>
    <w:p w14:paraId="3496C99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3. </w:t>
      </w:r>
      <w:r>
        <w:rPr>
          <w:rFonts w:ascii="宋体" w:hAnsi="宋体" w:cs="宋体"/>
          <w:color w:val="auto"/>
          <w:kern w:val="0"/>
          <w:szCs w:val="21"/>
          <w:highlight w:val="none"/>
        </w:rPr>
        <w:t xml:space="preserve">措施项目费： </w:t>
      </w:r>
    </w:p>
    <w:p w14:paraId="1CEA5BC0">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A、安全文明施工费：安全文明施工费用按渝建发[2024]38号文》和渝建发[2016]35号、《开展品质提升行动计取安全文明施工费的通知》渝建[2018]697号规定按实结算；</w:t>
      </w:r>
    </w:p>
    <w:p w14:paraId="1AF27215">
      <w:pPr>
        <w:widowControl/>
        <w:adjustRightInd w:val="0"/>
        <w:snapToGrid w:val="0"/>
        <w:spacing w:after="163" w:afterLines="50"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B、施工组织措施项目费：按发包人委托的中介出具编制的费率包干，结算时费率不再调整；</w:t>
      </w:r>
    </w:p>
    <w:p w14:paraId="2100C323">
      <w:pPr>
        <w:widowControl/>
        <w:adjustRightInd w:val="0"/>
        <w:snapToGrid w:val="0"/>
        <w:spacing w:after="163" w:afterLines="50"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C、以项计量的施工技术措施项目费：按发包人委托的中介出具综合单价包干，结算时不再调整；若现场确需发生，但施工图纸无法计量部分，由承包人编制专项施工方案，据实办理签证纳入结算。计价原则同工程变更、审核工程量清单漏项或新增项目价款计价办法。</w:t>
      </w:r>
    </w:p>
    <w:p w14:paraId="54586474">
      <w:pPr>
        <w:widowControl/>
        <w:adjustRightInd w:val="0"/>
        <w:snapToGrid w:val="0"/>
        <w:spacing w:after="163" w:afterLines="50"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D、以综合单价包干的施工技术措施项目费：按发包人委托的中介机构出具的综合单价，结算时按《重庆市建设工程工程量计算规则》（CQJLGZ-2013）计量；</w:t>
      </w:r>
    </w:p>
    <w:p w14:paraId="5391694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4.规费按国家现行规定执行；</w:t>
      </w:r>
    </w:p>
    <w:p w14:paraId="674F13E0">
      <w:pPr>
        <w:widowControl/>
        <w:adjustRightInd w:val="0"/>
        <w:snapToGrid w:val="0"/>
        <w:spacing w:after="163" w:afterLines="50"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5.税金按国家现行规定执行；</w:t>
      </w:r>
    </w:p>
    <w:p w14:paraId="2A1F52E7">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6.工程变更、审核工程量清单漏项或新增项目价款按以下办法进行计价：</w:t>
      </w:r>
    </w:p>
    <w:p w14:paraId="6C369170">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① 工程内容与发包人委托的中介机构出具编制报告的工程量清单中有相同的子项，则按相同子项的审核综合单价执行；</w:t>
      </w:r>
    </w:p>
    <w:p w14:paraId="0D8E569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②工程内容与发包人委托的中介机构出具编制报告的工程量清单中有类似子项，则按类似子项的综合单价执行（类似子项的综合单价由发包人审定）；</w:t>
      </w:r>
    </w:p>
    <w:p w14:paraId="06CECF4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③工程内容与发包人委托的中介机构出具编制的工程量清单中无相同子项或类似子项的，按照 《建设工程工程量清单计价规范》（GB50500-2013）、《重庆市建设工程工程量清单计价规则》（CQQDGZ-2013）、按照《重庆市建筑工程计价定额》（CQJZDE-2018）、《重庆市市政工程计价定额》（CQSZDE -2018）、《重庆市装饰工程计价定额》（CQZSDE-2018）、《混凝土及砂浆配合比表、施工机械台班定额》CQPSDE-2018）、《重庆市建设工程费用定额》（CQFYDE-2018）及相关配套文件的规定进行组价。                                                        </w:t>
      </w:r>
    </w:p>
    <w:p w14:paraId="5E05947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其中的人工工日单价、材料价格和未计价材料价格按以下选项调整：</w:t>
      </w:r>
    </w:p>
    <w:p w14:paraId="11E6AAD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A、发包人委托的中介出具编制价中有的材料和人工单价价格则按其进行结算。</w:t>
      </w:r>
    </w:p>
    <w:p w14:paraId="6E4136D8">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B、发包人委托的中介出具编制价中没有的材料价格由发包人按照合理的市场价格认质核价。</w:t>
      </w:r>
    </w:p>
    <w:p w14:paraId="1B9C8F7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C、人工工日单价按发包人委托的中介出具编制价中的人工工日单价执行 ，发包人委托的中介出具的综合单价中没有的人工工日单价则按施工期间重庆建设工程造价总站《重庆工程造价》公布的九龙坡区人工指导价的算术平均值执行。</w:t>
      </w:r>
    </w:p>
    <w:p w14:paraId="064626F0">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（7）合同约定其他费用：按合同约定执行。</w:t>
      </w:r>
    </w:p>
    <w:p w14:paraId="4885D710">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备注：①因业主要求变更部分、重大设计变更、暂定部分、招标工程量清单中漏项的工程项目工程量，按《重庆市九龙坡区政府投资项目管理实施细则》（试行）九龙坡府发〔2021〕1号文的规定执行。</w:t>
      </w:r>
    </w:p>
    <w:p w14:paraId="599E445C">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②竣工验收前需提供完整的结算资料</w:t>
      </w:r>
      <w:r>
        <w:rPr>
          <w:rFonts w:hint="eastAsia" w:ascii="宋体" w:hAnsi="宋体" w:cs="宋体"/>
          <w:color w:val="auto"/>
          <w:kern w:val="0"/>
          <w:szCs w:val="21"/>
          <w:highlight w:val="none"/>
          <w:lang w:val="zh-CN"/>
        </w:rPr>
        <w:t>。</w:t>
      </w:r>
    </w:p>
    <w:p w14:paraId="7C1D182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 最终以区财政或审计局审定金额为准。</w:t>
      </w:r>
    </w:p>
    <w:p w14:paraId="7AC86035">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8.结算其他约定： </w:t>
      </w:r>
    </w:p>
    <w:p w14:paraId="42FCB72B">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建筑安装工程费用最终竣工结算金额以经区财政局（区审计局）审核（审计）的工程竣工结算金额为准，但如果经区财政局（区审计局）审核（审计）的工程竣工结算金额超过经九龙坡区发改委批复的概算建筑安装工程费用金额（扣除不含在本次比选范围内工程的概算费用）的，除发生重大设计变更外，则按概算批复的建筑安装工程费用（扣除不含在本次比选范围内工程的概算费用）作为竣工结算金额定案；若竣工结算金额未超过概算批复的建筑安装工程费用（扣除不含在本次比选范围内工程概算费用），则按经区财政局（区审计局）审核（审计）的竣工结算金额执行。</w:t>
      </w:r>
    </w:p>
    <w:p w14:paraId="402FBE9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2）由于进度款支付比例、审计时间较长的因素，充分考虑资金占用、融资、垫资等风险由承包人承担，不另行计取。</w:t>
      </w:r>
    </w:p>
    <w:p w14:paraId="2168B548">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3）如因建设需要，发包人调增（减）建设范围，导致工程量增加（减少）的均按本合同结算原则办理结算。</w:t>
      </w:r>
    </w:p>
    <w:p w14:paraId="32DC1BE4">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如果有）承包人为他人提供条件的内容：承包人应负责向发包人发包的其它承包人提供他们施工所需的合理设施，由此产生的配合费、交叉施工降效费等所有相应费用综合考虑在比选申请报价中。水电按表计量，并收取水电费。</w:t>
      </w:r>
    </w:p>
    <w:p w14:paraId="7A05511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5）（如果有）承包人应负责向发包人发包的其它承包人提供工地上道路，并提供施工场地，发生的相关费用综合考虑在比选申请报价中，不另行计取。 </w:t>
      </w:r>
    </w:p>
    <w:p w14:paraId="6DB99EEE">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6）承包人应服从发包人要求的管理模式、工作方式和工作要求，同时接受监理人、跟审单位（如果有）的管理和全程监督，配合项目结、决算的办理，费用不另行计取。 </w:t>
      </w:r>
    </w:p>
    <w:p w14:paraId="1DE0984C">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7）（如果有）发包人核定的分包工程所产生的总承包服务费、配合费不另行计取。 </w:t>
      </w:r>
    </w:p>
    <w:p w14:paraId="14FA86D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8）由于施工场地制约导致承包人不能在施工现场搭设临设等，由承包人自行解决，不另行计取。 </w:t>
      </w:r>
    </w:p>
    <w:p w14:paraId="51C24B65">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9）为保证本工程的合同工期所发生的抢工措施费，以及抢工状况下的工程质量和安全保证措施费，不另行计取。 </w:t>
      </w:r>
    </w:p>
    <w:p w14:paraId="1C2F4C5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10）承包人施工期间，雨水、地表水（包括各种来源的水）、地下水及场外水流入施工现场所采取的各种排水措施及施工降效等所发生的费用，不另行计取。 </w:t>
      </w:r>
    </w:p>
    <w:p w14:paraId="75AFD94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11）承包人临时设施及员工生活产生的建筑垃圾清理、外运和弃碴等所发生的费用，由承包人自行承担，不另行计取。</w:t>
      </w:r>
    </w:p>
    <w:p w14:paraId="08AF94F5">
      <w:pPr>
        <w:widowControl/>
        <w:adjustRightInd w:val="0"/>
        <w:snapToGrid w:val="0"/>
        <w:spacing w:after="163" w:afterLines="50" w:line="480" w:lineRule="exact"/>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 xml:space="preserve">12）承包人和水、电、气、讯、电梯等行业承包人在墙面、楼面、地面上预留、多次打洞、凿槽后，其洞和槽需要承包人修补或发包人要求承包人修补所发生的一切费用（包括补洞的特殊费用，如砼挡墙的防水补洞）。因设计变更或技术核定增加预留预埋孔洞槽的钻孔、凿打的费用和堵补废弃预留预埋孔洞槽的费用；已预留和已开凿的孔和洞不再使用而需要填补发生的一切费用，因设计变更和工程需要未预留的孔和洞，需重新开凿所发生的一切费用，不另行计取。 </w:t>
      </w:r>
    </w:p>
    <w:p w14:paraId="70842C65">
      <w:pPr>
        <w:widowControl/>
        <w:adjustRightInd w:val="0"/>
        <w:snapToGrid w:val="0"/>
        <w:spacing w:after="163" w:afterLines="50" w:line="480" w:lineRule="exact"/>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 xml:space="preserve">13）安装工程中，所有暗埋管应随土建预埋而未预埋的，事后剔槽预埋的费用，不另行计取。 承包人为迎接相关职能、主管部门的检查产生的措施费用；承包人承担为发包人、代建单位、监理、设计、跟踪审核单位等提供的临时办公设施费用，不另行计取。 </w:t>
      </w:r>
    </w:p>
    <w:p w14:paraId="23BED091">
      <w:pPr>
        <w:widowControl/>
        <w:adjustRightInd w:val="0"/>
        <w:snapToGrid w:val="0"/>
        <w:spacing w:after="163" w:afterLines="50" w:line="480" w:lineRule="exact"/>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14）本工程定额包干费以外连续停水、停电造成承包人增加的费用，发包人不承担任何费用索赔。因市网停水、停电，承包人应自备发电机和储水设备，且其配置的发电机和储水设备应满足工程的需要，承包人不得因市网停水、停电而停工，不另行计取。</w:t>
      </w:r>
    </w:p>
    <w:p w14:paraId="7552A5B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15）因承包人以及非发包人原因造成临时设施及围墙、施工道路等二次及多次安拆、搬运、搭设等内容的费用，不另行计取。 </w:t>
      </w:r>
    </w:p>
    <w:p w14:paraId="68DB9032">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16）承包人施工场地以及相邻出入口的施工道路的维修、场地和道路的排水、维修，不另行计取。</w:t>
      </w:r>
    </w:p>
    <w:p w14:paraId="1716084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承包人按政府主管部门的规定办理并取得道路通行权、修建场外设施权，按要求对道路和交通设施维修、维护、养护和管理，同时承包人还需按有关规定对超大件和超重件运输临时加固改造以及办理相关手续等发生的所有费用，不另行计取。</w:t>
      </w:r>
    </w:p>
    <w:p w14:paraId="43F4CC1C">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18） 承包人应遵守政府有关主管部门对施工噪音以及环境保护和安全生产等的管理规定，并按规定办理有关手续所发生的费用，不另行计取。 </w:t>
      </w:r>
    </w:p>
    <w:p w14:paraId="6ECA04E3">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19）专业工程材料、成品、半成品的场内二次或多次搬运费，不另行计取。 </w:t>
      </w:r>
    </w:p>
    <w:p w14:paraId="4624236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20）施工过程中材料、设备设施产地、品牌、生产厂家等必须经发包人审批完成后才能进行采购，如未经发包人审批采购的，不得用于工程项目，相关损失由承包人承担，给发包人造成损失的，应给予发包人实际损失金额的赔偿，但赔偿金额最多不超过建筑安装工程费用合同金额的 3%。承包人为配合发包人甲供材料、设备设施的场内转运、安装产生的费用、提供的甲供材料堆放场地产生的费用、甲供材料单位临时借用施工现场临时设施产生的费用等，均不另行计取。 </w:t>
      </w:r>
    </w:p>
    <w:p w14:paraId="7D4D1B36">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21）本工程所需材料、设备由承包人自行采购，但所采购的材料必须符合国家规范标准及设计文件要求。对需要认价的材料、设备若承包人在发包人、代建单位或区财政局或区审计局评审机构核价后 5 个工作日内，承包人拒绝签字确认发包人核定的价格或拒绝按发包人核定的价格采购的，则该种材料或设备改为第三方供货，发包人收取承包人该类材料或设备费的 10%作为违约金。使用不合格材料和不允许使用的材料，所产生的后果由承包人承担全部责任。</w:t>
      </w:r>
    </w:p>
    <w:p w14:paraId="5BDF91DB">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 设计变更、增减工程等必须经发包人书面审批同意实施。未经发包人同意的设计变更项目及增减工程不纳入工程变更及结算，承包人自行承担经济损失。 </w:t>
      </w:r>
    </w:p>
    <w:p w14:paraId="7D3EE9A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14.6 </w:t>
      </w:r>
      <w:r>
        <w:rPr>
          <w:rFonts w:hint="eastAsia" w:ascii="宋体" w:hAnsi="宋体" w:cs="宋体"/>
          <w:color w:val="auto"/>
          <w:kern w:val="0"/>
          <w:szCs w:val="21"/>
          <w:highlight w:val="none"/>
        </w:rPr>
        <w:t>质量保证金</w:t>
      </w:r>
    </w:p>
    <w:p w14:paraId="5D734A8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14.6.1 </w:t>
      </w:r>
      <w:r>
        <w:rPr>
          <w:rFonts w:hint="eastAsia" w:ascii="宋体" w:hAnsi="宋体" w:cs="宋体"/>
          <w:color w:val="auto"/>
          <w:kern w:val="0"/>
          <w:szCs w:val="21"/>
          <w:highlight w:val="none"/>
        </w:rPr>
        <w:t>承包人提供质量保证金的方式</w:t>
      </w:r>
    </w:p>
    <w:p w14:paraId="40C195E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质量保证金采用以下第</w:t>
      </w:r>
      <w:r>
        <w:rPr>
          <w:rFonts w:hint="eastAsia" w:ascii="宋体" w:hAnsi="宋体" w:cs="宋体"/>
          <w:color w:val="auto"/>
          <w:kern w:val="0"/>
          <w:szCs w:val="21"/>
          <w:highlight w:val="none"/>
          <w:u w:val="single"/>
        </w:rPr>
        <w:t xml:space="preserve"> （2） </w:t>
      </w:r>
      <w:r>
        <w:rPr>
          <w:rFonts w:hint="eastAsia" w:ascii="宋体" w:hAnsi="宋体" w:cs="宋体"/>
          <w:color w:val="auto"/>
          <w:kern w:val="0"/>
          <w:szCs w:val="21"/>
          <w:highlight w:val="none"/>
        </w:rPr>
        <w:t>种方式：</w:t>
      </w:r>
    </w:p>
    <w:p w14:paraId="139EDE0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）工程质量保证担保</w:t>
      </w:r>
    </w:p>
    <w:p w14:paraId="4335E90B">
      <w:pPr>
        <w:widowControl/>
        <w:adjustRightInd w:val="0"/>
        <w:snapToGrid w:val="0"/>
        <w:spacing w:after="163" w:afterLines="50" w:line="48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担保形式：</w:t>
      </w:r>
      <w:r>
        <w:rPr>
          <w:rFonts w:hint="eastAsia" w:ascii="宋体" w:hAnsi="宋体" w:cs="宋体"/>
          <w:color w:val="auto"/>
          <w:kern w:val="0"/>
          <w:szCs w:val="21"/>
          <w:highlight w:val="none"/>
          <w:u w:val="single"/>
        </w:rPr>
        <w:t>质量保证金保函包括银行保函、保证保险和担保保函，其示范文本详见合同附件。承包人提交的质量保证金保函应严格执行其示范文本，不得对示范文本中的实质性内容进行修改。 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比选文件约定要求。承包人应选择在渝依法设立总部或者设有分支机构的金融机构开具质量保证金保函（包括纸质保函 或电子保函）。质量保证金保函为纸质保函的，纸质保函应注明在重庆市辖区范围内的核验地址和核验方式，并确保该纸质保函能在开立人在渝的总部或者分支机构进行核验。承包人对所提交的质量保证金 保函的真实性、合法性、有效性负责。</w:t>
      </w:r>
    </w:p>
    <w:p w14:paraId="27714ED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保证金额：</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BCC307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提交时间：</w:t>
      </w:r>
      <w:r>
        <w:rPr>
          <w:rFonts w:hint="eastAsia" w:ascii="宋体" w:hAnsi="宋体" w:cs="宋体"/>
          <w:color w:val="auto"/>
          <w:kern w:val="0"/>
          <w:szCs w:val="21"/>
          <w:highlight w:val="none"/>
          <w:u w:val="single"/>
        </w:rPr>
        <w:t>工程竣工验收合格后</w:t>
      </w:r>
      <w:r>
        <w:rPr>
          <w:rFonts w:ascii="宋体" w:hAnsi="宋体" w:cs="宋体"/>
          <w:color w:val="auto"/>
          <w:kern w:val="0"/>
          <w:szCs w:val="21"/>
          <w:highlight w:val="none"/>
          <w:u w:val="single"/>
        </w:rPr>
        <w:t>14</w:t>
      </w:r>
      <w:r>
        <w:rPr>
          <w:rFonts w:hint="eastAsia" w:ascii="宋体" w:hAnsi="宋体" w:cs="宋体"/>
          <w:color w:val="auto"/>
          <w:kern w:val="0"/>
          <w:szCs w:val="21"/>
          <w:highlight w:val="none"/>
          <w:u w:val="single"/>
        </w:rPr>
        <w:t>天内</w:t>
      </w:r>
      <w:r>
        <w:rPr>
          <w:rFonts w:hint="eastAsia" w:ascii="宋体" w:hAnsi="宋体" w:cs="宋体"/>
          <w:color w:val="auto"/>
          <w:kern w:val="0"/>
          <w:szCs w:val="21"/>
          <w:highlight w:val="none"/>
        </w:rPr>
        <w:t>。</w:t>
      </w:r>
    </w:p>
    <w:p w14:paraId="75243A4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）竣工结算价的</w:t>
      </w:r>
      <w:r>
        <w:rPr>
          <w:rFonts w:hint="eastAsia" w:ascii="宋体" w:hAnsi="宋体" w:cs="宋体"/>
          <w:color w:val="auto"/>
          <w:kern w:val="0"/>
          <w:szCs w:val="21"/>
          <w:highlight w:val="none"/>
          <w:u w:val="single"/>
        </w:rPr>
        <w:t>3</w:t>
      </w:r>
      <w:r>
        <w:rPr>
          <w:rFonts w:ascii="宋体" w:hAnsi="宋体" w:cs="宋体"/>
          <w:color w:val="auto"/>
          <w:kern w:val="0"/>
          <w:szCs w:val="21"/>
          <w:highlight w:val="none"/>
        </w:rPr>
        <w:t>%</w:t>
      </w:r>
      <w:r>
        <w:rPr>
          <w:rFonts w:hint="eastAsia" w:ascii="宋体" w:hAnsi="宋体" w:cs="宋体"/>
          <w:color w:val="auto"/>
          <w:kern w:val="0"/>
          <w:szCs w:val="21"/>
          <w:highlight w:val="none"/>
        </w:rPr>
        <w:t>；</w:t>
      </w:r>
    </w:p>
    <w:p w14:paraId="43634D5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）其他方式：</w:t>
      </w:r>
      <w:r>
        <w:rPr>
          <w:rFonts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1218E7B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14.6.2 </w:t>
      </w:r>
      <w:r>
        <w:rPr>
          <w:rFonts w:hint="eastAsia" w:ascii="宋体" w:hAnsi="宋体" w:cs="宋体"/>
          <w:color w:val="auto"/>
          <w:kern w:val="0"/>
          <w:szCs w:val="21"/>
          <w:highlight w:val="none"/>
        </w:rPr>
        <w:t>质量保证金的预留</w:t>
      </w:r>
    </w:p>
    <w:p w14:paraId="08576DA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质量保证金的预留采取以下第</w:t>
      </w:r>
      <w:r>
        <w:rPr>
          <w:rFonts w:hint="eastAsia" w:ascii="宋体" w:hAnsi="宋体" w:cs="宋体"/>
          <w:color w:val="auto"/>
          <w:kern w:val="0"/>
          <w:szCs w:val="21"/>
          <w:highlight w:val="none"/>
          <w:u w:val="single"/>
        </w:rPr>
        <w:t xml:space="preserve"> （2） </w:t>
      </w:r>
      <w:r>
        <w:rPr>
          <w:rFonts w:hint="eastAsia" w:ascii="宋体" w:hAnsi="宋体" w:cs="宋体"/>
          <w:color w:val="auto"/>
          <w:kern w:val="0"/>
          <w:szCs w:val="21"/>
          <w:highlight w:val="none"/>
        </w:rPr>
        <w:t>种方式：</w:t>
      </w:r>
    </w:p>
    <w:p w14:paraId="1D582C9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）在支付工程进度款时逐次预留的质量保证金的比例：</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，在此情形下，质量保证金的计算基数不包括预付款的支付、扣回以及价格调整的金额；</w:t>
      </w:r>
    </w:p>
    <w:p w14:paraId="093C1E8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）工程竣工结算时一次性预留专用合同条件第</w:t>
      </w:r>
      <w:r>
        <w:rPr>
          <w:rFonts w:ascii="宋体" w:hAnsi="宋体" w:cs="宋体"/>
          <w:color w:val="auto"/>
          <w:kern w:val="0"/>
          <w:szCs w:val="21"/>
          <w:highlight w:val="none"/>
        </w:rPr>
        <w:t>14.6.1</w:t>
      </w:r>
      <w:r>
        <w:rPr>
          <w:rFonts w:hint="eastAsia" w:ascii="宋体" w:hAnsi="宋体" w:cs="宋体"/>
          <w:color w:val="auto"/>
          <w:kern w:val="0"/>
          <w:szCs w:val="21"/>
          <w:highlight w:val="none"/>
        </w:rPr>
        <w:t>项第（</w:t>
      </w:r>
      <w:r>
        <w:rPr>
          <w:rFonts w:ascii="宋体" w:hAnsi="宋体" w:cs="宋体"/>
          <w:color w:val="auto"/>
          <w:kern w:val="0"/>
          <w:szCs w:val="21"/>
          <w:highlight w:val="none"/>
        </w:rPr>
        <w:t>2</w:t>
      </w:r>
      <w:r>
        <w:rPr>
          <w:rFonts w:hint="eastAsia" w:ascii="宋体" w:hAnsi="宋体" w:cs="宋体"/>
          <w:color w:val="auto"/>
          <w:kern w:val="0"/>
          <w:szCs w:val="21"/>
          <w:highlight w:val="none"/>
        </w:rPr>
        <w:t>）目约定比例的的质量保证金；</w:t>
      </w:r>
    </w:p>
    <w:p w14:paraId="22E7448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）其他预留方式</w:t>
      </w:r>
      <w:r>
        <w:rPr>
          <w:rFonts w:ascii="宋体" w:hAnsi="宋体" w:cs="宋体"/>
          <w:color w:val="auto"/>
          <w:kern w:val="0"/>
          <w:szCs w:val="21"/>
          <w:highlight w:val="none"/>
        </w:rPr>
        <w:t>:</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492A30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14.6.3 </w:t>
      </w:r>
      <w:r>
        <w:rPr>
          <w:rFonts w:hint="eastAsia" w:ascii="宋体" w:hAnsi="宋体" w:cs="宋体"/>
          <w:color w:val="auto"/>
          <w:kern w:val="0"/>
          <w:szCs w:val="21"/>
          <w:highlight w:val="none"/>
        </w:rPr>
        <w:t>质量保证金的返还</w:t>
      </w:r>
    </w:p>
    <w:p w14:paraId="364127A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）在发包人向承包人颁发缺陷责任期终止证书之日起</w:t>
      </w:r>
      <w:r>
        <w:rPr>
          <w:rFonts w:ascii="宋体" w:hAnsi="宋体" w:cs="宋体"/>
          <w:color w:val="auto"/>
          <w:kern w:val="0"/>
          <w:szCs w:val="21"/>
          <w:highlight w:val="none"/>
        </w:rPr>
        <w:t>14</w:t>
      </w:r>
      <w:r>
        <w:rPr>
          <w:rFonts w:hint="eastAsia" w:ascii="宋体" w:hAnsi="宋体" w:cs="宋体"/>
          <w:color w:val="auto"/>
          <w:kern w:val="0"/>
          <w:szCs w:val="21"/>
          <w:highlight w:val="none"/>
        </w:rPr>
        <w:t>天内退还。</w:t>
      </w:r>
    </w:p>
    <w:p w14:paraId="578D2B5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）缺陷责任期内，承包人认真履行合同约定的责任，到期后，承包人可向发包人申请返还质量保证金。</w:t>
      </w:r>
    </w:p>
    <w:p w14:paraId="4821B22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）质量保证金是否支付利息采取以下第</w:t>
      </w:r>
      <w:r>
        <w:rPr>
          <w:rFonts w:hint="eastAsia" w:ascii="宋体" w:hAnsi="宋体" w:cs="宋体"/>
          <w:color w:val="auto"/>
          <w:kern w:val="0"/>
          <w:szCs w:val="21"/>
          <w:highlight w:val="none"/>
          <w:u w:val="single"/>
        </w:rPr>
        <w:t>②</w:t>
      </w:r>
      <w:r>
        <w:rPr>
          <w:rFonts w:hint="eastAsia" w:ascii="宋体" w:hAnsi="宋体" w:cs="宋体"/>
          <w:color w:val="auto"/>
          <w:kern w:val="0"/>
          <w:szCs w:val="21"/>
          <w:highlight w:val="none"/>
        </w:rPr>
        <w:t>种方式：</w:t>
      </w:r>
    </w:p>
    <w:p w14:paraId="68A183D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①按照中国人民银行年月公布的</w:t>
      </w:r>
      <w:r>
        <w:rPr>
          <w:rFonts w:ascii="宋体" w:hAnsi="宋体" w:cs="宋体"/>
          <w:color w:val="auto"/>
          <w:kern w:val="0"/>
          <w:szCs w:val="21"/>
          <w:highlight w:val="none"/>
        </w:rPr>
        <w:t>5</w:t>
      </w:r>
      <w:r>
        <w:rPr>
          <w:rFonts w:hint="eastAsia" w:ascii="宋体" w:hAnsi="宋体" w:cs="宋体"/>
          <w:color w:val="auto"/>
          <w:kern w:val="0"/>
          <w:szCs w:val="21"/>
          <w:highlight w:val="none"/>
        </w:rPr>
        <w:t>年期贷款市场报价利率支付利息。</w:t>
      </w:r>
    </w:p>
    <w:p w14:paraId="15EC5C2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②不采用。</w:t>
      </w:r>
    </w:p>
    <w:p w14:paraId="009A8E6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14.7 </w:t>
      </w:r>
      <w:r>
        <w:rPr>
          <w:rFonts w:hint="eastAsia" w:ascii="宋体" w:hAnsi="宋体" w:cs="宋体"/>
          <w:color w:val="auto"/>
          <w:kern w:val="0"/>
          <w:szCs w:val="21"/>
          <w:highlight w:val="none"/>
        </w:rPr>
        <w:t>最终结清</w:t>
      </w:r>
    </w:p>
    <w:p w14:paraId="043DD8B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14.7.1 </w:t>
      </w:r>
      <w:r>
        <w:rPr>
          <w:rFonts w:hint="eastAsia" w:ascii="宋体" w:hAnsi="宋体" w:cs="宋体"/>
          <w:color w:val="auto"/>
          <w:kern w:val="0"/>
          <w:szCs w:val="21"/>
          <w:highlight w:val="none"/>
        </w:rPr>
        <w:t>最终结清申请单</w:t>
      </w:r>
    </w:p>
    <w:p w14:paraId="3032D9C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承包人提交最终结清申请单的份数：</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份</w:t>
      </w:r>
      <w:r>
        <w:rPr>
          <w:rFonts w:hint="eastAsia" w:ascii="宋体" w:hAnsi="宋体" w:cs="宋体"/>
          <w:color w:val="auto"/>
          <w:kern w:val="0"/>
          <w:szCs w:val="21"/>
          <w:highlight w:val="none"/>
        </w:rPr>
        <w:t>。</w:t>
      </w:r>
    </w:p>
    <w:p w14:paraId="57967C1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缺陷责任期终止证书颁发后</w:t>
      </w:r>
      <w:r>
        <w:rPr>
          <w:rFonts w:ascii="宋体" w:hAnsi="宋体" w:cs="宋体"/>
          <w:color w:val="auto"/>
          <w:kern w:val="0"/>
          <w:szCs w:val="21"/>
          <w:highlight w:val="none"/>
          <w:u w:val="single"/>
        </w:rPr>
        <w:t>14</w:t>
      </w:r>
      <w:r>
        <w:rPr>
          <w:rFonts w:hint="eastAsia" w:ascii="宋体" w:hAnsi="宋体" w:cs="宋体"/>
          <w:color w:val="auto"/>
          <w:kern w:val="0"/>
          <w:szCs w:val="21"/>
          <w:highlight w:val="none"/>
          <w:u w:val="single"/>
        </w:rPr>
        <w:t>天内</w:t>
      </w:r>
      <w:r>
        <w:rPr>
          <w:rFonts w:hint="eastAsia" w:ascii="宋体" w:hAnsi="宋体" w:cs="宋体"/>
          <w:color w:val="auto"/>
          <w:kern w:val="0"/>
          <w:szCs w:val="21"/>
          <w:highlight w:val="none"/>
        </w:rPr>
        <w:t>。</w:t>
      </w:r>
    </w:p>
    <w:p w14:paraId="54FB00D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14.7.2 </w:t>
      </w:r>
      <w:r>
        <w:rPr>
          <w:rFonts w:hint="eastAsia" w:ascii="宋体" w:hAnsi="宋体" w:cs="宋体"/>
          <w:color w:val="auto"/>
          <w:kern w:val="0"/>
          <w:szCs w:val="21"/>
          <w:highlight w:val="none"/>
        </w:rPr>
        <w:t>最终结清证书和支付</w:t>
      </w:r>
    </w:p>
    <w:p w14:paraId="52F2052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）发包人完成最终结清申请单的审批并颁发最终结清证书的期限：</w:t>
      </w:r>
      <w:r>
        <w:rPr>
          <w:rFonts w:hint="eastAsia" w:ascii="宋体" w:hAnsi="宋体" w:cs="宋体"/>
          <w:color w:val="auto"/>
          <w:kern w:val="0"/>
          <w:szCs w:val="21"/>
          <w:highlight w:val="none"/>
          <w:u w:val="single"/>
        </w:rPr>
        <w:t>收到承包人提交的最终结清申请单后</w:t>
      </w:r>
      <w:r>
        <w:rPr>
          <w:rFonts w:ascii="宋体" w:hAnsi="宋体" w:cs="宋体"/>
          <w:color w:val="auto"/>
          <w:kern w:val="0"/>
          <w:szCs w:val="21"/>
          <w:highlight w:val="none"/>
          <w:u w:val="single"/>
        </w:rPr>
        <w:t>14</w:t>
      </w:r>
      <w:r>
        <w:rPr>
          <w:rFonts w:hint="eastAsia" w:ascii="宋体" w:hAnsi="宋体" w:cs="宋体"/>
          <w:color w:val="auto"/>
          <w:kern w:val="0"/>
          <w:szCs w:val="21"/>
          <w:highlight w:val="none"/>
          <w:u w:val="single"/>
        </w:rPr>
        <w:t>天内</w:t>
      </w:r>
      <w:r>
        <w:rPr>
          <w:rFonts w:hint="eastAsia" w:ascii="宋体" w:hAnsi="宋体" w:cs="宋体"/>
          <w:color w:val="auto"/>
          <w:kern w:val="0"/>
          <w:szCs w:val="21"/>
          <w:highlight w:val="none"/>
        </w:rPr>
        <w:t>。</w:t>
      </w:r>
    </w:p>
    <w:p w14:paraId="51C9369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）发包人完成支付的期限：</w:t>
      </w:r>
      <w:r>
        <w:rPr>
          <w:rFonts w:hint="eastAsia" w:ascii="宋体" w:hAnsi="宋体" w:cs="宋体"/>
          <w:color w:val="auto"/>
          <w:kern w:val="0"/>
          <w:szCs w:val="21"/>
          <w:highlight w:val="none"/>
          <w:u w:val="single"/>
        </w:rPr>
        <w:t>颁发最终结清证书后</w:t>
      </w:r>
      <w:r>
        <w:rPr>
          <w:rFonts w:ascii="宋体" w:hAnsi="宋体" w:cs="宋体"/>
          <w:color w:val="auto"/>
          <w:kern w:val="0"/>
          <w:szCs w:val="21"/>
          <w:highlight w:val="none"/>
          <w:u w:val="single"/>
        </w:rPr>
        <w:t>14</w:t>
      </w:r>
      <w:r>
        <w:rPr>
          <w:rFonts w:hint="eastAsia" w:ascii="宋体" w:hAnsi="宋体" w:cs="宋体"/>
          <w:color w:val="auto"/>
          <w:kern w:val="0"/>
          <w:szCs w:val="21"/>
          <w:highlight w:val="none"/>
          <w:u w:val="single"/>
        </w:rPr>
        <w:t>天内</w:t>
      </w:r>
      <w:r>
        <w:rPr>
          <w:rFonts w:hint="eastAsia" w:ascii="宋体" w:hAnsi="宋体" w:cs="宋体"/>
          <w:color w:val="auto"/>
          <w:kern w:val="0"/>
          <w:szCs w:val="21"/>
          <w:highlight w:val="none"/>
        </w:rPr>
        <w:t>。</w:t>
      </w:r>
    </w:p>
    <w:p w14:paraId="19E1484A">
      <w:pPr>
        <w:widowControl/>
        <w:adjustRightInd w:val="0"/>
        <w:snapToGrid w:val="0"/>
        <w:spacing w:after="163" w:afterLines="50" w:line="480" w:lineRule="exact"/>
        <w:ind w:firstLine="420" w:firstLineChars="200"/>
        <w:outlineLvl w:val="1"/>
        <w:rPr>
          <w:rFonts w:ascii="宋体" w:hAnsi="宋体" w:cs="Times"/>
          <w:color w:val="auto"/>
          <w:kern w:val="0"/>
          <w:highlight w:val="none"/>
        </w:rPr>
      </w:pPr>
      <w:bookmarkStart w:id="2689" w:name="_Toc20171888"/>
      <w:bookmarkEnd w:id="2689"/>
      <w:bookmarkStart w:id="2690" w:name="_Toc7713"/>
      <w:bookmarkStart w:id="2691" w:name="_Toc84930875"/>
      <w:bookmarkStart w:id="2692" w:name="_Toc170932606"/>
      <w:r>
        <w:rPr>
          <w:rFonts w:hint="eastAsia" w:ascii="宋体" w:hAnsi="宋体" w:cs="Times"/>
          <w:color w:val="auto"/>
          <w:kern w:val="0"/>
          <w:szCs w:val="21"/>
          <w:highlight w:val="none"/>
        </w:rPr>
        <w:t>第</w:t>
      </w:r>
      <w:r>
        <w:rPr>
          <w:rFonts w:ascii="宋体" w:hAnsi="宋体" w:cs="Times"/>
          <w:color w:val="auto"/>
          <w:kern w:val="0"/>
          <w:szCs w:val="21"/>
          <w:highlight w:val="none"/>
        </w:rPr>
        <w:t>15</w:t>
      </w:r>
      <w:r>
        <w:rPr>
          <w:rFonts w:hint="eastAsia" w:ascii="宋体" w:hAnsi="宋体" w:cs="Times"/>
          <w:color w:val="auto"/>
          <w:kern w:val="0"/>
          <w:szCs w:val="21"/>
          <w:highlight w:val="none"/>
        </w:rPr>
        <w:t>条违约</w:t>
      </w:r>
      <w:bookmarkEnd w:id="2690"/>
      <w:bookmarkEnd w:id="2691"/>
      <w:bookmarkEnd w:id="2692"/>
    </w:p>
    <w:p w14:paraId="0BCA63E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15.1 </w:t>
      </w:r>
      <w:r>
        <w:rPr>
          <w:rFonts w:hint="eastAsia" w:ascii="宋体" w:hAnsi="宋体" w:cs="宋体"/>
          <w:color w:val="auto"/>
          <w:kern w:val="0"/>
          <w:szCs w:val="21"/>
          <w:highlight w:val="none"/>
        </w:rPr>
        <w:t>发包人违约</w:t>
      </w:r>
    </w:p>
    <w:p w14:paraId="040E6A5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15.1.1 </w:t>
      </w:r>
      <w:r>
        <w:rPr>
          <w:rFonts w:hint="eastAsia" w:ascii="宋体" w:hAnsi="宋体" w:cs="宋体"/>
          <w:color w:val="auto"/>
          <w:kern w:val="0"/>
          <w:szCs w:val="21"/>
          <w:highlight w:val="none"/>
        </w:rPr>
        <w:t>发包人违约的情形</w:t>
      </w:r>
    </w:p>
    <w:p w14:paraId="097F22C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除通用合同条件约定外，发包人违约的其他情形：</w:t>
      </w:r>
    </w:p>
    <w:p w14:paraId="5DA1B90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）发包人提供的材料、工程设备的规格、数量或质量不符合合同约定，或因发包人原因导致交货日期延误或交货地点变更等情况的；</w:t>
      </w:r>
    </w:p>
    <w:p w14:paraId="1189A36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）因发包人原因导致工期延误的；</w:t>
      </w:r>
    </w:p>
    <w:p w14:paraId="5779A8B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）因发包人原因未能及时办理完毕合同约定的许可、批准或备案的；</w:t>
      </w:r>
    </w:p>
    <w:p w14:paraId="4C702C2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）因监理人未能按合同约定发出指示、指示延误或发出了错误指示而导致承包人费用增加和（或）工期延误的；</w:t>
      </w:r>
    </w:p>
    <w:p w14:paraId="0E71BE2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）发包人或监理人要求重新检查的，经检查证明工程质量符合合同要求的，并由此产生增加的费用和（或）延误的工期的；</w:t>
      </w:r>
    </w:p>
    <w:p w14:paraId="742A47D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）因发包人原因造成工程质量未达到合同约定标准的；</w:t>
      </w:r>
    </w:p>
    <w:p w14:paraId="159914E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）由于发包人原因对承包人造成的人员人身伤亡和财产损失的；</w:t>
      </w:r>
    </w:p>
    <w:p w14:paraId="6FD22BB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）因发包人原因导致工程无法按期办理竣工验收或竣工结算的；</w:t>
      </w:r>
    </w:p>
    <w:p w14:paraId="04ACE48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）发包人无正当理由未按约定退还履约担保、低价风险担保、预付款担保或质量保证金的；</w:t>
      </w:r>
    </w:p>
    <w:p w14:paraId="66215FF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10</w:t>
      </w:r>
      <w:r>
        <w:rPr>
          <w:rFonts w:hint="eastAsia" w:ascii="宋体" w:hAnsi="宋体" w:cs="宋体"/>
          <w:color w:val="auto"/>
          <w:kern w:val="0"/>
          <w:szCs w:val="21"/>
          <w:highlight w:val="none"/>
        </w:rPr>
        <w:t>）发包人不当提取履约担保、低价风险担保、预付款担保或质量保证金的；</w:t>
      </w:r>
    </w:p>
    <w:p w14:paraId="18B6860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11</w:t>
      </w:r>
      <w:r>
        <w:rPr>
          <w:rFonts w:hint="eastAsia" w:ascii="宋体" w:hAnsi="宋体" w:cs="宋体"/>
          <w:color w:val="auto"/>
          <w:kern w:val="0"/>
          <w:szCs w:val="21"/>
          <w:highlight w:val="none"/>
        </w:rPr>
        <w:t>）发包人未按合同约定接收全部或部分工作的；</w:t>
      </w:r>
    </w:p>
    <w:p w14:paraId="6AAA65A9">
      <w:pPr>
        <w:widowControl/>
        <w:adjustRightInd w:val="0"/>
        <w:snapToGrid w:val="0"/>
        <w:spacing w:after="163" w:afterLines="50" w:line="480" w:lineRule="exact"/>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rPr>
        <w:t>（</w:t>
      </w:r>
      <w:r>
        <w:rPr>
          <w:rFonts w:ascii="宋体" w:hAnsi="宋体" w:cs="宋体"/>
          <w:color w:val="auto"/>
          <w:kern w:val="0"/>
          <w:szCs w:val="21"/>
          <w:highlight w:val="none"/>
        </w:rPr>
        <w:t>12</w:t>
      </w:r>
      <w:r>
        <w:rPr>
          <w:rFonts w:hint="eastAsia" w:ascii="宋体" w:hAnsi="宋体" w:cs="宋体"/>
          <w:color w:val="auto"/>
          <w:kern w:val="0"/>
          <w:szCs w:val="21"/>
          <w:highlight w:val="none"/>
        </w:rPr>
        <w:t>）发包人未按合同约定办理保险的；</w:t>
      </w:r>
    </w:p>
    <w:p w14:paraId="4A133FBF">
      <w:pPr>
        <w:widowControl/>
        <w:adjustRightInd w:val="0"/>
        <w:snapToGrid w:val="0"/>
        <w:spacing w:after="163" w:afterLines="50" w:line="480" w:lineRule="exact"/>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13</w:t>
      </w:r>
      <w:r>
        <w:rPr>
          <w:rFonts w:hint="eastAsia" w:ascii="宋体" w:hAnsi="宋体" w:cs="宋体"/>
          <w:color w:val="auto"/>
          <w:kern w:val="0"/>
          <w:szCs w:val="21"/>
          <w:highlight w:val="none"/>
          <w:u w:val="single"/>
        </w:rPr>
        <w:t xml:space="preserve">）其他：    /   </w:t>
      </w:r>
      <w:r>
        <w:rPr>
          <w:rFonts w:hint="eastAsia" w:ascii="宋体" w:hAnsi="宋体" w:cs="宋体"/>
          <w:color w:val="auto"/>
          <w:kern w:val="0"/>
          <w:szCs w:val="21"/>
          <w:highlight w:val="none"/>
        </w:rPr>
        <w:t>。</w:t>
      </w:r>
    </w:p>
    <w:p w14:paraId="158469E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15.1.3 </w:t>
      </w:r>
      <w:r>
        <w:rPr>
          <w:rFonts w:hint="eastAsia" w:ascii="宋体" w:hAnsi="宋体" w:cs="宋体"/>
          <w:color w:val="auto"/>
          <w:kern w:val="0"/>
          <w:szCs w:val="21"/>
          <w:highlight w:val="none"/>
        </w:rPr>
        <w:t>发包人违约的责任</w:t>
      </w:r>
    </w:p>
    <w:p w14:paraId="70D90215">
      <w:pPr>
        <w:pStyle w:val="2"/>
        <w:ind w:firstLine="420" w:firstLineChars="200"/>
        <w:rPr>
          <w:color w:val="auto"/>
          <w:highlight w:val="none"/>
        </w:rPr>
      </w:pPr>
      <w:r>
        <w:rPr>
          <w:color w:val="auto"/>
          <w:highlight w:val="none"/>
        </w:rPr>
        <w:t>发包人的违约责任按本条处理，不采用通用条款。</w:t>
      </w:r>
    </w:p>
    <w:p w14:paraId="339BF73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）因发包人原因未能及时办理完毕前述许可、批准或备案的违约责任：承包人不承担责任，顺延工期。</w:t>
      </w:r>
    </w:p>
    <w:p w14:paraId="751DEE7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）因监理人未能按合同约定发出指示、指示延误或发出了错误指示而导致承包人费用增加和（或）工期延误的，承包人不承担责任，顺延工期。</w:t>
      </w:r>
    </w:p>
    <w:p w14:paraId="7942062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）因发包人原因导致工期延误的违约责任：承包人不承担责任，工期顺延。</w:t>
      </w:r>
    </w:p>
    <w:p w14:paraId="559842D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）因发包人原因导致开始工作日期延误的违约责任：承包人不承担责任，工期顺延。</w:t>
      </w:r>
    </w:p>
    <w:p w14:paraId="15D3744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）根据</w:t>
      </w:r>
      <w:r>
        <w:rPr>
          <w:rFonts w:ascii="宋体" w:hAnsi="宋体" w:cs="宋体"/>
          <w:color w:val="auto"/>
          <w:kern w:val="0"/>
          <w:szCs w:val="21"/>
          <w:highlight w:val="none"/>
        </w:rPr>
        <w:t>5.3.3</w:t>
      </w:r>
      <w:r>
        <w:rPr>
          <w:rFonts w:hint="eastAsia" w:ascii="宋体" w:hAnsi="宋体" w:cs="宋体"/>
          <w:color w:val="auto"/>
          <w:kern w:val="0"/>
          <w:szCs w:val="21"/>
          <w:highlight w:val="none"/>
        </w:rPr>
        <w:t>项发包人或监理人要求重新检查的，经检查证明工程质量符合合同要求的，承包人不承担责任，工期顺延。</w:t>
      </w:r>
    </w:p>
    <w:p w14:paraId="52755F5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）因发包人原因未按合同约定支付合同价款的违约责任：无。</w:t>
      </w:r>
    </w:p>
    <w:p w14:paraId="730D5D8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）发包人违反合同约定，自行实施被取消的工作或转由他人实施的违约责任：无。</w:t>
      </w:r>
    </w:p>
    <w:p w14:paraId="7FB48A9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）发包人提供的材料、工程设备的规格、数量或质量不符合合同约定，或因发包人原因导致交货日期延误或交货地点变更等情况的违约责任：承包人不承担责任，工期顺延。</w:t>
      </w:r>
    </w:p>
    <w:p w14:paraId="22F5B23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）因发包人原因造成工程质量未达到合同约定标准的，承包人不承担责任，工期顺延。</w:t>
      </w:r>
    </w:p>
    <w:p w14:paraId="19DEF59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10</w:t>
      </w:r>
      <w:r>
        <w:rPr>
          <w:rFonts w:hint="eastAsia" w:ascii="宋体" w:hAnsi="宋体" w:cs="宋体"/>
          <w:color w:val="auto"/>
          <w:kern w:val="0"/>
          <w:szCs w:val="21"/>
          <w:highlight w:val="none"/>
        </w:rPr>
        <w:t>）因发包人违反合同约定造成工程暂停施工的违约责任：承包人不承担责任，工期顺延。</w:t>
      </w:r>
    </w:p>
    <w:p w14:paraId="5AFB3BA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11</w:t>
      </w:r>
      <w:r>
        <w:rPr>
          <w:rFonts w:hint="eastAsia" w:ascii="宋体" w:hAnsi="宋体" w:cs="宋体"/>
          <w:color w:val="auto"/>
          <w:kern w:val="0"/>
          <w:szCs w:val="21"/>
          <w:highlight w:val="none"/>
        </w:rPr>
        <w:t>）发包人无正当理由没有在约定期限内发出复工指示，导致承包人无法复工的违约责任：承包人不承担责任，工期顺延。</w:t>
      </w:r>
    </w:p>
    <w:p w14:paraId="7676D9F6">
      <w:pPr>
        <w:widowControl/>
        <w:adjustRightInd w:val="0"/>
        <w:snapToGrid w:val="0"/>
        <w:spacing w:after="163" w:afterLines="50" w:line="480" w:lineRule="exact"/>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rPr>
        <w:t>（</w:t>
      </w:r>
      <w:r>
        <w:rPr>
          <w:rFonts w:ascii="宋体" w:hAnsi="宋体" w:cs="宋体"/>
          <w:color w:val="auto"/>
          <w:kern w:val="0"/>
          <w:szCs w:val="21"/>
          <w:highlight w:val="none"/>
        </w:rPr>
        <w:t>12</w:t>
      </w:r>
      <w:r>
        <w:rPr>
          <w:rFonts w:hint="eastAsia" w:ascii="宋体" w:hAnsi="宋体" w:cs="宋体"/>
          <w:color w:val="auto"/>
          <w:kern w:val="0"/>
          <w:szCs w:val="21"/>
          <w:highlight w:val="none"/>
        </w:rPr>
        <w:t>）因发包人原因导致工程无法按期办理竣工验收或竣工结算的违约责任：承包人不承担责任，工期顺延。</w:t>
      </w:r>
    </w:p>
    <w:p w14:paraId="5A21139C">
      <w:pPr>
        <w:widowControl/>
        <w:adjustRightInd w:val="0"/>
        <w:snapToGrid w:val="0"/>
        <w:spacing w:after="163" w:afterLines="50" w:line="480" w:lineRule="exact"/>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rPr>
        <w:t>（</w:t>
      </w:r>
      <w:r>
        <w:rPr>
          <w:rFonts w:ascii="宋体" w:hAnsi="宋体" w:cs="宋体"/>
          <w:color w:val="auto"/>
          <w:kern w:val="0"/>
          <w:szCs w:val="21"/>
          <w:highlight w:val="none"/>
        </w:rPr>
        <w:t>13</w:t>
      </w:r>
      <w:r>
        <w:rPr>
          <w:rFonts w:hint="eastAsia" w:ascii="宋体" w:hAnsi="宋体" w:cs="宋体"/>
          <w:color w:val="auto"/>
          <w:kern w:val="0"/>
          <w:szCs w:val="21"/>
          <w:highlight w:val="none"/>
        </w:rPr>
        <w:t>）发包人无正当理由未按约定退还履约担保、低价风险担保、预付款担保或质量保证金的违约责任：无。</w:t>
      </w:r>
    </w:p>
    <w:p w14:paraId="4BFD514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14</w:t>
      </w:r>
      <w:r>
        <w:rPr>
          <w:rFonts w:hint="eastAsia" w:ascii="宋体" w:hAnsi="宋体" w:cs="宋体"/>
          <w:color w:val="auto"/>
          <w:kern w:val="0"/>
          <w:szCs w:val="21"/>
          <w:highlight w:val="none"/>
        </w:rPr>
        <w:t>）发包人不当提取履约担保、低价风险担保、预付款担保或质量保证金的，应及时予以退还，若不当提取超过</w:t>
      </w:r>
      <w:r>
        <w:rPr>
          <w:rFonts w:ascii="宋体" w:hAnsi="宋体" w:cs="宋体"/>
          <w:color w:val="auto"/>
          <w:kern w:val="0"/>
          <w:szCs w:val="21"/>
          <w:highlight w:val="none"/>
        </w:rPr>
        <w:t>28</w:t>
      </w:r>
      <w:r>
        <w:rPr>
          <w:rFonts w:hint="eastAsia" w:ascii="宋体" w:hAnsi="宋体" w:cs="宋体"/>
          <w:color w:val="auto"/>
          <w:kern w:val="0"/>
          <w:szCs w:val="21"/>
          <w:highlight w:val="none"/>
        </w:rPr>
        <w:t>天的，应承担违约责任：无。</w:t>
      </w:r>
    </w:p>
    <w:p w14:paraId="4C9A20A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15</w:t>
      </w:r>
      <w:r>
        <w:rPr>
          <w:rFonts w:hint="eastAsia" w:ascii="宋体" w:hAnsi="宋体" w:cs="宋体"/>
          <w:color w:val="auto"/>
          <w:kern w:val="0"/>
          <w:szCs w:val="21"/>
          <w:highlight w:val="none"/>
        </w:rPr>
        <w:t>）发包人未按合同约定接收全部或部分工作的违约责任：无。</w:t>
      </w:r>
    </w:p>
    <w:p w14:paraId="135247B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16</w:t>
      </w:r>
      <w:r>
        <w:rPr>
          <w:rFonts w:hint="eastAsia" w:ascii="宋体" w:hAnsi="宋体" w:cs="宋体"/>
          <w:color w:val="auto"/>
          <w:kern w:val="0"/>
          <w:szCs w:val="21"/>
          <w:highlight w:val="none"/>
        </w:rPr>
        <w:t>）由于发包人原因对承包人造成的人员人身伤亡和财产损失的，无。</w:t>
      </w:r>
    </w:p>
    <w:p w14:paraId="2D9CAEE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17</w:t>
      </w:r>
      <w:r>
        <w:rPr>
          <w:rFonts w:hint="eastAsia" w:ascii="宋体" w:hAnsi="宋体" w:cs="宋体"/>
          <w:color w:val="auto"/>
          <w:kern w:val="0"/>
          <w:szCs w:val="21"/>
          <w:highlight w:val="none"/>
        </w:rPr>
        <w:t>）发包人未按合同约定办理保险的违约责任：无。</w:t>
      </w:r>
    </w:p>
    <w:p w14:paraId="2E83DF4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18</w:t>
      </w:r>
      <w:r>
        <w:rPr>
          <w:rFonts w:hint="eastAsia" w:ascii="宋体" w:hAnsi="宋体" w:cs="宋体"/>
          <w:color w:val="auto"/>
          <w:kern w:val="0"/>
          <w:szCs w:val="21"/>
          <w:highlight w:val="none"/>
        </w:rPr>
        <w:t>）其他：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C08977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15.2 </w:t>
      </w:r>
      <w:r>
        <w:rPr>
          <w:rFonts w:hint="eastAsia" w:ascii="宋体" w:hAnsi="宋体" w:cs="宋体"/>
          <w:color w:val="auto"/>
          <w:kern w:val="0"/>
          <w:szCs w:val="21"/>
          <w:highlight w:val="none"/>
        </w:rPr>
        <w:t>承包人违约</w:t>
      </w:r>
    </w:p>
    <w:p w14:paraId="6265404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15.2.1 </w:t>
      </w:r>
      <w:r>
        <w:rPr>
          <w:rFonts w:hint="eastAsia" w:ascii="宋体" w:hAnsi="宋体" w:cs="宋体"/>
          <w:color w:val="auto"/>
          <w:kern w:val="0"/>
          <w:szCs w:val="21"/>
          <w:highlight w:val="none"/>
        </w:rPr>
        <w:t>承包人违约的情形</w:t>
      </w:r>
    </w:p>
    <w:p w14:paraId="2B54421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除通用合同条件约定外，承包人违约的其他情形：</w:t>
      </w:r>
    </w:p>
    <w:p w14:paraId="3D96D70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）承包人未按合同约定提交履约担保或质量保证金的；</w:t>
      </w:r>
    </w:p>
    <w:p w14:paraId="1563DDF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）承包人未能按期开始工作的；</w:t>
      </w:r>
    </w:p>
    <w:p w14:paraId="231DC95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）承包人未按比选申请文件或监理人的要求及时配备称职的主要管理人员，或承包人未按经审定的施工组织设计配备或更换关键施工设备的；</w:t>
      </w:r>
    </w:p>
    <w:p w14:paraId="378717D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）承包人有安全问题或有违反安全管理规章制度情况的；</w:t>
      </w:r>
    </w:p>
    <w:p w14:paraId="13F4785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）承包人在缺陷责任期及保修期内，未能在合理期限对工程缺陷进行修复，或拒绝按发包人要求进行修复的；</w:t>
      </w:r>
    </w:p>
    <w:p w14:paraId="344573F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）承包人拖欠其工人或所雇人员工资或报酬，导致其工人或所雇人员向有关部门投诉、控告、检举或以聚集等方式讨要工资或报酬的；</w:t>
      </w:r>
    </w:p>
    <w:p w14:paraId="71E1453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）承包人不配合发包人、监理人及发包人委托的工程造价咨询服务单位结算审核或承包人其他原因导致未按期完成工程竣工结算的；</w:t>
      </w:r>
    </w:p>
    <w:p w14:paraId="5CF2064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）承包人未按合同约定移交全部或部分工作的；</w:t>
      </w:r>
    </w:p>
    <w:p w14:paraId="47728F4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）承包人未按合同约定购买保险的；</w:t>
      </w:r>
    </w:p>
    <w:p w14:paraId="2359FE52">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10</w:t>
      </w:r>
      <w:r>
        <w:rPr>
          <w:rFonts w:hint="eastAsia" w:ascii="宋体" w:hAnsi="宋体" w:cs="宋体"/>
          <w:color w:val="auto"/>
          <w:kern w:val="0"/>
          <w:szCs w:val="21"/>
          <w:highlight w:val="none"/>
        </w:rPr>
        <w:t>）项目经理或施工负责人若有以下情形，属于承包人违约：</w:t>
      </w:r>
    </w:p>
    <w:p w14:paraId="2B7ED8C0">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）不按承诺到岗的；</w:t>
      </w:r>
    </w:p>
    <w:p w14:paraId="79408CE2">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）每月在施工现场的天数少于约定天数的；</w:t>
      </w:r>
    </w:p>
    <w:p w14:paraId="141E584C">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）承包人未提交工程项目经理或施工负责人的劳动合同和社会保险证明的；</w:t>
      </w:r>
    </w:p>
    <w:p w14:paraId="3DEFE37A">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）未经批准，擅自离开施工现场（超过约定时间）的；</w:t>
      </w:r>
    </w:p>
    <w:p w14:paraId="7D9E898D">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）未经批准，擅自变更工程项目经理或施工负责人的；</w:t>
      </w:r>
    </w:p>
    <w:p w14:paraId="61602A72">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）按照渝建发〔</w:t>
      </w:r>
      <w:r>
        <w:rPr>
          <w:rFonts w:ascii="宋体" w:hAnsi="宋体" w:cs="宋体"/>
          <w:color w:val="auto"/>
          <w:kern w:val="0"/>
          <w:szCs w:val="21"/>
          <w:highlight w:val="none"/>
        </w:rPr>
        <w:t>2015</w:t>
      </w:r>
      <w:r>
        <w:rPr>
          <w:rFonts w:hint="eastAsia" w:ascii="宋体" w:hAnsi="宋体" w:cs="宋体"/>
          <w:color w:val="auto"/>
          <w:kern w:val="0"/>
          <w:szCs w:val="21"/>
          <w:highlight w:val="none"/>
        </w:rPr>
        <w:t>〕</w:t>
      </w:r>
      <w:r>
        <w:rPr>
          <w:rFonts w:ascii="宋体" w:hAnsi="宋体" w:cs="宋体"/>
          <w:color w:val="auto"/>
          <w:kern w:val="0"/>
          <w:szCs w:val="21"/>
          <w:highlight w:val="none"/>
        </w:rPr>
        <w:t>35</w:t>
      </w:r>
      <w:r>
        <w:rPr>
          <w:rFonts w:hint="eastAsia" w:ascii="宋体" w:hAnsi="宋体" w:cs="宋体"/>
          <w:color w:val="auto"/>
          <w:kern w:val="0"/>
          <w:szCs w:val="21"/>
          <w:highlight w:val="none"/>
        </w:rPr>
        <w:t>号文的要求，施工期间，因在一个记分周期内累计记分达到</w:t>
      </w:r>
      <w:r>
        <w:rPr>
          <w:rFonts w:ascii="宋体" w:hAnsi="宋体" w:cs="宋体"/>
          <w:color w:val="auto"/>
          <w:kern w:val="0"/>
          <w:szCs w:val="21"/>
          <w:highlight w:val="none"/>
        </w:rPr>
        <w:t>12</w:t>
      </w:r>
      <w:r>
        <w:rPr>
          <w:rFonts w:hint="eastAsia" w:ascii="宋体" w:hAnsi="宋体" w:cs="宋体"/>
          <w:color w:val="auto"/>
          <w:kern w:val="0"/>
          <w:szCs w:val="21"/>
          <w:highlight w:val="none"/>
        </w:rPr>
        <w:t>分，被建设行政主管部门依法责令停止执业的；</w:t>
      </w:r>
    </w:p>
    <w:p w14:paraId="48D447F2">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）发包人有正当理由认为工程项目经理或施工负责人不称职</w:t>
      </w:r>
      <w:r>
        <w:rPr>
          <w:rFonts w:ascii="宋体" w:hAnsi="宋体" w:cs="宋体"/>
          <w:color w:val="auto"/>
          <w:kern w:val="0"/>
          <w:szCs w:val="21"/>
          <w:highlight w:val="none"/>
        </w:rPr>
        <w:t>/</w:t>
      </w:r>
      <w:r>
        <w:rPr>
          <w:rFonts w:hint="eastAsia" w:ascii="宋体" w:hAnsi="宋体" w:cs="宋体"/>
          <w:color w:val="auto"/>
          <w:kern w:val="0"/>
          <w:szCs w:val="21"/>
          <w:highlight w:val="none"/>
        </w:rPr>
        <w:t>不履职，且承包人在约定时间内不予更换的；</w:t>
      </w:r>
    </w:p>
    <w:p w14:paraId="5F00074A">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）其他双方约定的情形。</w:t>
      </w:r>
    </w:p>
    <w:p w14:paraId="15FE34FA">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11</w:t>
      </w:r>
      <w:r>
        <w:rPr>
          <w:rFonts w:hint="eastAsia" w:ascii="宋体" w:hAnsi="宋体" w:cs="宋体"/>
          <w:color w:val="auto"/>
          <w:kern w:val="0"/>
          <w:szCs w:val="21"/>
          <w:highlight w:val="none"/>
        </w:rPr>
        <w:t>）施工技术负责人若有以下情形，属于承包人违约：</w:t>
      </w:r>
    </w:p>
    <w:p w14:paraId="58E238FE">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）每月在施工现场的天数少于约定天数的；</w:t>
      </w:r>
    </w:p>
    <w:p w14:paraId="4C6DF52E">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）承包人未提交施工技术负责人劳动合同和社会保险证明的；</w:t>
      </w:r>
    </w:p>
    <w:p w14:paraId="71365ECD">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）未经批准，擅自离开施工现场（超过约定时间）的；</w:t>
      </w:r>
    </w:p>
    <w:p w14:paraId="75322E99">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）未经批准，擅自变更施工技术负责人的；</w:t>
      </w:r>
    </w:p>
    <w:p w14:paraId="4CACF822">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）发包人有正当理由认为施工技术负责人不称职</w:t>
      </w:r>
      <w:r>
        <w:rPr>
          <w:rFonts w:ascii="宋体" w:hAnsi="宋体" w:cs="宋体"/>
          <w:color w:val="auto"/>
          <w:kern w:val="0"/>
          <w:szCs w:val="21"/>
          <w:highlight w:val="none"/>
        </w:rPr>
        <w:t>/</w:t>
      </w:r>
      <w:r>
        <w:rPr>
          <w:rFonts w:hint="eastAsia" w:ascii="宋体" w:hAnsi="宋体" w:cs="宋体"/>
          <w:color w:val="auto"/>
          <w:kern w:val="0"/>
          <w:szCs w:val="21"/>
          <w:highlight w:val="none"/>
        </w:rPr>
        <w:t>不履职，且承包人在约定时间内不予更换的；</w:t>
      </w:r>
    </w:p>
    <w:p w14:paraId="4E45571B">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）其他双方约定的情形。</w:t>
      </w:r>
    </w:p>
    <w:p w14:paraId="70044DE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2）其他：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336C5E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15.2.2 </w:t>
      </w:r>
      <w:r>
        <w:rPr>
          <w:rFonts w:hint="eastAsia" w:ascii="宋体" w:hAnsi="宋体" w:cs="宋体"/>
          <w:color w:val="auto"/>
          <w:kern w:val="0"/>
          <w:szCs w:val="21"/>
          <w:highlight w:val="none"/>
        </w:rPr>
        <w:t>通知改正</w:t>
      </w:r>
    </w:p>
    <w:p w14:paraId="2DB95C5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监理人通知承包人改正的合理期限是：</w:t>
      </w:r>
      <w:r>
        <w:rPr>
          <w:rFonts w:hint="eastAsia" w:ascii="宋体" w:hAnsi="宋体" w:cs="宋体"/>
          <w:color w:val="auto"/>
          <w:kern w:val="0"/>
          <w:szCs w:val="21"/>
          <w:highlight w:val="none"/>
          <w:u w:val="single"/>
        </w:rPr>
        <w:t>发出整改通知后1天</w:t>
      </w:r>
      <w:r>
        <w:rPr>
          <w:rFonts w:hint="eastAsia" w:ascii="宋体" w:hAnsi="宋体" w:cs="宋体"/>
          <w:color w:val="auto"/>
          <w:kern w:val="0"/>
          <w:szCs w:val="21"/>
          <w:highlight w:val="none"/>
        </w:rPr>
        <w:t>。</w:t>
      </w:r>
    </w:p>
    <w:p w14:paraId="47BF3A4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15.2.3 </w:t>
      </w:r>
      <w:r>
        <w:rPr>
          <w:rFonts w:hint="eastAsia" w:ascii="宋体" w:hAnsi="宋体" w:cs="宋体"/>
          <w:color w:val="auto"/>
          <w:kern w:val="0"/>
          <w:szCs w:val="21"/>
          <w:highlight w:val="none"/>
        </w:rPr>
        <w:t>承包人违约的责任</w:t>
      </w:r>
    </w:p>
    <w:p w14:paraId="77F787D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承包人违约责任的承担方式和计算方法：</w:t>
      </w:r>
    </w:p>
    <w:p w14:paraId="5431634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（1）承包人未按合同约定提交履约担保或质量保证金的违约责任：承包人应支付违约金，违约金的计算方法：每延误1天，承包人按</w:t>
      </w:r>
      <w:r>
        <w:rPr>
          <w:rFonts w:hint="eastAsia" w:ascii="宋体" w:hAnsi="宋体" w:cs="宋体"/>
          <w:color w:val="auto"/>
          <w:kern w:val="0"/>
          <w:szCs w:val="21"/>
          <w:highlight w:val="none"/>
          <w:u w:val="single"/>
        </w:rPr>
        <w:t>5000元/天</w:t>
      </w:r>
      <w:r>
        <w:rPr>
          <w:rFonts w:hint="eastAsia" w:ascii="宋体" w:hAnsi="宋体" w:cs="宋体"/>
          <w:color w:val="auto"/>
          <w:kern w:val="0"/>
          <w:szCs w:val="21"/>
          <w:highlight w:val="none"/>
        </w:rPr>
        <w:t>计算违约金，累计违约金上限不超过签约合同价的3%。</w:t>
      </w:r>
    </w:p>
    <w:p w14:paraId="6A60071D">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承包人的原因导致的承包人文件、实施和竣工的工程不符合法律法规、工程质量验收标准以及合同约定的违约责任：限期改正，并按照其不符合法律以及合同约定的相应合同金额的10%支付违约金；造成工期延误的，还应承担造成工期延误的违约责任。</w:t>
      </w:r>
    </w:p>
    <w:p w14:paraId="2F38443B">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（3）承包人违反合同约定进行转包或违法分包的违约责任：按照违反合同约定进行转包和（或）违法分包相应转包和（或）分包合同的合同金额的10%支付违约金，违法转/分包商应在7天内撤离出场。</w:t>
      </w:r>
    </w:p>
    <w:p w14:paraId="772F0E1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（4）承包人违反合同约定采购和使用不合格的材料和工程设备的违约责任：按照违反合同约定采购和使用不合格的材料和（或）工程设备相应合同金额的10%支付违约金。</w:t>
      </w:r>
    </w:p>
    <w:p w14:paraId="59567C0D">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（5）因承包人原因导致工程质量不符合合同要求的违约责任：承包人退还已支付工程质量不符合合同要求工程的工程款，并按照工程质量不符合合同要求工程相应合同金额的10%支付违约金。</w:t>
      </w:r>
    </w:p>
    <w:p w14:paraId="7FAFFD64">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承包人违反材料与设备的约定，未经批准，擅自将已按合同约定进入施工现场的施工设备、临时设施或材料撤离施工现场的违约责任：按照承包人擅自撤离施工现场施工设备、临时设施或材料相应合同金额的5%支付违约金。</w:t>
      </w:r>
    </w:p>
    <w:p w14:paraId="22A025C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因承包人原因造成工期延误的违约承担方式和计算方法：由承包人承担由此增加的费用，由此导致工期延误的，工期不予顺延；逾期竣工违约金的计算方法：每延误1天，承包人按10000元/天计算逾期竣工违约金，累计违约不超过签约合同价的3%；承包人支付逾期竣工违约金后，不免除承包人继续完成工程及修补缺陷的义务。</w:t>
      </w:r>
    </w:p>
    <w:p w14:paraId="0699935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（8）由于承包人原因未能通过竣工试验或竣工后试验的的违约责任：限期改正，造成工期延误的，还应承担造成工期延误的违约责任。</w:t>
      </w:r>
    </w:p>
    <w:p w14:paraId="44E74017">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（9）承包人在缺陷责任期及保修期内，未能在合理期限对工程缺陷进行修复，或拒绝按发包人指示进行修复的违约责任：按照发包人修复缺陷费用的2%支付违约金。</w:t>
      </w:r>
    </w:p>
    <w:p w14:paraId="004869B8">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（10）承包人明确表示或者以其行为表明不履行合同主要义务的违约责任：按签约合同价的10%支付违约金。</w:t>
      </w:r>
    </w:p>
    <w:p w14:paraId="612E4672">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（11）承包人未能按照合同约定履行其他义务的违约责任：按5000元/次支付违约金。</w:t>
      </w:r>
    </w:p>
    <w:p w14:paraId="47B80F1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（12）承包人未能按期开始工作的违约责任：按合同价0.2‰/天支付违约金，本项违约金累计限额为签约合同价的 1 %。</w:t>
      </w:r>
    </w:p>
    <w:p w14:paraId="1EBC2B5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（13）承包人未按经审定的施工组织设计配备或擅自更换关键施工设备的违约责任：按50000元/台·次支付违约金。</w:t>
      </w:r>
    </w:p>
    <w:p w14:paraId="4F19701D">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（14）承包人有安全问题或有违反安全管理规章制度情况的违约责任：根据具体情节，按签约合同价的4‰/次支付违约金（累计不超过签约合同价的1%，详见附件9安全管理协议）。</w:t>
      </w:r>
    </w:p>
    <w:p w14:paraId="27373CF7">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（15）承包人拖欠其工人或所雇人员工资或报酬，导致其工人或所雇人员向有关部门投诉、控告、检举或以聚集等方式讨要工资或报酬的违约责任：根据具体情节，按违约金额200000元/次支付违约金。</w:t>
      </w:r>
    </w:p>
    <w:p w14:paraId="1D7E7553">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（16）承包人不配合发包人、监理人及发包人委托的工程造价咨询服务单位结算审核的违约责任：根据具体情节，按</w:t>
      </w:r>
      <w:r>
        <w:rPr>
          <w:rFonts w:ascii="宋体" w:hAnsi="宋体" w:cs="宋体"/>
          <w:color w:val="auto"/>
          <w:kern w:val="0"/>
          <w:szCs w:val="21"/>
          <w:highlight w:val="none"/>
        </w:rPr>
        <w:t>1</w:t>
      </w:r>
      <w:r>
        <w:rPr>
          <w:rFonts w:hint="eastAsia" w:ascii="宋体" w:hAnsi="宋体" w:cs="宋体"/>
          <w:color w:val="auto"/>
          <w:kern w:val="0"/>
          <w:szCs w:val="21"/>
          <w:highlight w:val="none"/>
        </w:rPr>
        <w:t>00000元/次支付违约金。</w:t>
      </w:r>
    </w:p>
    <w:p w14:paraId="365ADBF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（17）承包人未按合同约定移交全部和部分工程的违约责任：由承包人承担工程照管、成品保护、保管等与工程有关的各种费用，并按结算金额或违约部分结算金额的1‰支付违约金。</w:t>
      </w:r>
    </w:p>
    <w:p w14:paraId="797A21C8">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（18）承包人未按合同约定购买保险的违约责任：除按通用合同条件18.5.3项[未按约定投保的补救]执行外，每延迟1天，按500元/天支付违约金。</w:t>
      </w:r>
    </w:p>
    <w:p w14:paraId="35716AF7">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（19）发生第15.2.1项（10）目、15.2.1项（11）目、15.2.1项（12）目违约情形的违约责任：除承担由此增加的费用和工期延误的责任，承包人应向发包人支付违约金：</w:t>
      </w:r>
    </w:p>
    <w:p w14:paraId="54824F3D">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工程项目经理或施工负责人违约承担方式和计算方法：对于第15.2.1项（10）目的情形，每发现一次，根据具体情节，按30000元/天·次计算违约金；不按承诺到岗的（第4.4.4项约定的情形除外），按履约保证金的100%支付违约金，并解除合同；擅自更换的，按签约合同价的3%/人·次支付违约金，每次不低于2万，累计不超过20万；被责令停止执业的，按签约合同价的3%/人·次支付违约金，每次不低于20万，累计不超过</w:t>
      </w:r>
      <w:r>
        <w:rPr>
          <w:rFonts w:ascii="宋体" w:hAnsi="宋体" w:cs="宋体"/>
          <w:color w:val="auto"/>
          <w:kern w:val="0"/>
          <w:szCs w:val="21"/>
          <w:highlight w:val="none"/>
        </w:rPr>
        <w:t>24</w:t>
      </w:r>
      <w:r>
        <w:rPr>
          <w:rFonts w:hint="eastAsia" w:ascii="宋体" w:hAnsi="宋体" w:cs="宋体"/>
          <w:color w:val="auto"/>
          <w:kern w:val="0"/>
          <w:szCs w:val="21"/>
          <w:highlight w:val="none"/>
        </w:rPr>
        <w:t>万。</w:t>
      </w:r>
    </w:p>
    <w:p w14:paraId="201F2C9E">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施工技术负责人违约承担方式和计算方法：对于第15.2.1项（11）目的六种情形，每发现一次，根据具体情节，按3000元/天·次计算违约金；擅自更换施工技术负责人的，按签约合同价的2%/人·次支付违约金，每次不低于1万，累计不超过10万。</w:t>
      </w:r>
    </w:p>
    <w:p w14:paraId="0553EC15">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（20）若因承包人项目现场施工管理不当、拖欠民工工资等原因出现居民、农民工上访事件，每发生一次，按50000元/天·次计算违约金。</w:t>
      </w:r>
    </w:p>
    <w:p w14:paraId="1FC0D630">
      <w:pPr>
        <w:pStyle w:val="2"/>
        <w:ind w:firstLine="420" w:firstLineChars="200"/>
        <w:rPr>
          <w:color w:val="auto"/>
          <w:highlight w:val="none"/>
        </w:rPr>
      </w:pPr>
      <w:r>
        <w:rPr>
          <w:rFonts w:hint="eastAsia" w:ascii="宋体" w:hAnsi="宋体" w:cs="宋体"/>
          <w:color w:val="auto"/>
          <w:kern w:val="0"/>
          <w:szCs w:val="21"/>
          <w:highlight w:val="none"/>
        </w:rPr>
        <w:t>（21）设计单位在合同签订后30日历天内提供审查合格的施工图，若因设计单位的原因造成工期延误，每延误1日历天，按20000元/次计算违约金。</w:t>
      </w:r>
    </w:p>
    <w:p w14:paraId="2FDCCCB4">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（22）其他：</w:t>
      </w:r>
    </w:p>
    <w:p w14:paraId="3083EBAF">
      <w:pPr>
        <w:widowControl/>
        <w:spacing w:line="480" w:lineRule="exact"/>
        <w:ind w:firstLine="420" w:firstLineChars="200"/>
        <w:jc w:val="left"/>
        <w:rPr>
          <w:color w:val="auto"/>
          <w:highlight w:val="none"/>
        </w:rPr>
      </w:pPr>
      <w:r>
        <w:rPr>
          <w:rFonts w:hint="eastAsia" w:ascii="宋体" w:hAnsi="宋体" w:cs="宋体"/>
          <w:color w:val="auto"/>
          <w:kern w:val="0"/>
          <w:szCs w:val="21"/>
          <w:highlight w:val="none"/>
          <w:lang w:bidi="ar"/>
        </w:rPr>
        <w:t xml:space="preserve">a.现场质量及安全整改：承包人未在发包人、监理人要求时限内完成整改内容按 10000 元/天计算违约金。 </w:t>
      </w:r>
    </w:p>
    <w:p w14:paraId="68ECADD8">
      <w:pPr>
        <w:widowControl/>
        <w:spacing w:line="480" w:lineRule="exact"/>
        <w:ind w:firstLine="420" w:firstLineChars="200"/>
        <w:jc w:val="left"/>
        <w:rPr>
          <w:color w:val="auto"/>
          <w:highlight w:val="none"/>
        </w:rPr>
      </w:pPr>
      <w:r>
        <w:rPr>
          <w:rFonts w:hint="eastAsia" w:ascii="宋体" w:hAnsi="宋体" w:cs="宋体"/>
          <w:color w:val="auto"/>
          <w:kern w:val="0"/>
          <w:szCs w:val="21"/>
          <w:highlight w:val="none"/>
          <w:lang w:bidi="ar"/>
        </w:rPr>
        <w:t xml:space="preserve">b.资料提交：承包人若因自身未按比选文件及合同要求提交施工图设计资料按 10000 元/天计算违约金；如未按发包人要求提供包括但不限于专项方案、人员任命文件、进度计划、结算资料等资料按 5000 </w:t>
      </w:r>
    </w:p>
    <w:p w14:paraId="3D7B53BC">
      <w:pPr>
        <w:widowControl/>
        <w:spacing w:line="480" w:lineRule="exact"/>
        <w:jc w:val="left"/>
        <w:rPr>
          <w:color w:val="auto"/>
          <w:highlight w:val="none"/>
        </w:rPr>
      </w:pPr>
      <w:r>
        <w:rPr>
          <w:rFonts w:hint="eastAsia" w:ascii="宋体" w:hAnsi="宋体" w:cs="宋体"/>
          <w:color w:val="auto"/>
          <w:kern w:val="0"/>
          <w:szCs w:val="21"/>
          <w:highlight w:val="none"/>
          <w:lang w:bidi="ar"/>
        </w:rPr>
        <w:t xml:space="preserve">元/天计算违约金。 </w:t>
      </w:r>
    </w:p>
    <w:p w14:paraId="33F95A7F">
      <w:pPr>
        <w:widowControl/>
        <w:spacing w:line="480" w:lineRule="exact"/>
        <w:ind w:firstLine="420" w:firstLineChars="200"/>
        <w:jc w:val="left"/>
        <w:rPr>
          <w:color w:val="auto"/>
          <w:highlight w:val="none"/>
        </w:rPr>
      </w:pPr>
      <w:r>
        <w:rPr>
          <w:rFonts w:hint="eastAsia" w:ascii="宋体" w:hAnsi="宋体" w:cs="宋体"/>
          <w:color w:val="auto"/>
          <w:kern w:val="0"/>
          <w:szCs w:val="21"/>
          <w:highlight w:val="none"/>
          <w:lang w:bidi="ar"/>
        </w:rPr>
        <w:t xml:space="preserve">应当由承包人向发包人支付的违约金，发包人可直接提取届时有效的履约担保相应金额，不足部分 </w:t>
      </w:r>
    </w:p>
    <w:p w14:paraId="2F7FD7A4">
      <w:pPr>
        <w:widowControl/>
        <w:spacing w:line="480" w:lineRule="exact"/>
        <w:jc w:val="left"/>
        <w:rPr>
          <w:color w:val="auto"/>
          <w:highlight w:val="none"/>
        </w:rPr>
      </w:pPr>
      <w:r>
        <w:rPr>
          <w:rFonts w:hint="eastAsia" w:ascii="宋体" w:hAnsi="宋体" w:cs="宋体"/>
          <w:color w:val="auto"/>
          <w:kern w:val="0"/>
          <w:szCs w:val="21"/>
          <w:highlight w:val="none"/>
          <w:lang w:bidi="ar"/>
        </w:rPr>
        <w:t xml:space="preserve">由承包人支付；若发包人提取履约担保相应金额，则承包人应在提取后 7 日内补足或提交合同约定的履 </w:t>
      </w:r>
    </w:p>
    <w:p w14:paraId="4EA2C7B1">
      <w:pPr>
        <w:widowControl/>
        <w:spacing w:line="480" w:lineRule="exact"/>
        <w:jc w:val="left"/>
        <w:rPr>
          <w:color w:val="auto"/>
          <w:highlight w:val="none"/>
        </w:rPr>
      </w:pPr>
      <w:r>
        <w:rPr>
          <w:rFonts w:hint="eastAsia" w:ascii="宋体" w:hAnsi="宋体" w:cs="宋体"/>
          <w:color w:val="auto"/>
          <w:kern w:val="0"/>
          <w:szCs w:val="21"/>
          <w:highlight w:val="none"/>
          <w:lang w:bidi="ar"/>
        </w:rPr>
        <w:t xml:space="preserve">约担保的金额，否则承担相应违约责任，并从应付或到期应付给承包人的任何款项中或采用其他方法， </w:t>
      </w:r>
    </w:p>
    <w:p w14:paraId="774B3444">
      <w:pPr>
        <w:widowControl/>
        <w:spacing w:line="480" w:lineRule="exact"/>
        <w:jc w:val="left"/>
        <w:rPr>
          <w:color w:val="auto"/>
          <w:highlight w:val="none"/>
        </w:rPr>
      </w:pPr>
      <w:r>
        <w:rPr>
          <w:rFonts w:hint="eastAsia" w:ascii="宋体" w:hAnsi="宋体" w:cs="宋体"/>
          <w:color w:val="auto"/>
          <w:kern w:val="0"/>
          <w:szCs w:val="21"/>
          <w:highlight w:val="none"/>
          <w:lang w:bidi="ar"/>
        </w:rPr>
        <w:t xml:space="preserve">扣除该违约金。 </w:t>
      </w:r>
    </w:p>
    <w:p w14:paraId="4EE1B762">
      <w:pPr>
        <w:widowControl/>
        <w:spacing w:line="480" w:lineRule="exact"/>
        <w:ind w:firstLine="420" w:firstLineChars="200"/>
        <w:jc w:val="left"/>
        <w:rPr>
          <w:color w:val="auto"/>
          <w:highlight w:val="none"/>
        </w:rPr>
      </w:pPr>
      <w:r>
        <w:rPr>
          <w:rFonts w:hint="eastAsia" w:ascii="宋体" w:hAnsi="宋体" w:cs="宋体"/>
          <w:color w:val="auto"/>
          <w:kern w:val="0"/>
          <w:szCs w:val="21"/>
          <w:highlight w:val="none"/>
          <w:lang w:bidi="ar"/>
        </w:rPr>
        <w:t xml:space="preserve">承包人必须及时纠正违约行为并采取积极措施，满足合同要求，自行承担与纠正违约行为有关的人 </w:t>
      </w:r>
    </w:p>
    <w:p w14:paraId="2AD5DD4D">
      <w:pPr>
        <w:widowControl/>
        <w:spacing w:line="480" w:lineRule="exact"/>
        <w:jc w:val="left"/>
        <w:rPr>
          <w:color w:val="auto"/>
          <w:highlight w:val="none"/>
        </w:rPr>
      </w:pPr>
      <w:r>
        <w:rPr>
          <w:rFonts w:hint="eastAsia" w:ascii="宋体" w:hAnsi="宋体" w:cs="宋体"/>
          <w:color w:val="auto"/>
          <w:kern w:val="0"/>
          <w:szCs w:val="21"/>
          <w:highlight w:val="none"/>
          <w:lang w:bidi="ar"/>
        </w:rPr>
        <w:t xml:space="preserve">身伤亡、罚款、索赔、损失补偿、诉讼费用及其他一切责任，工期不予顺延，承担由此给发包人造成的 </w:t>
      </w:r>
    </w:p>
    <w:p w14:paraId="6C82ECEF">
      <w:pPr>
        <w:widowControl/>
        <w:spacing w:line="480" w:lineRule="exact"/>
        <w:jc w:val="left"/>
        <w:rPr>
          <w:color w:val="auto"/>
          <w:highlight w:val="none"/>
        </w:rPr>
      </w:pPr>
      <w:r>
        <w:rPr>
          <w:rFonts w:hint="eastAsia" w:ascii="宋体" w:hAnsi="宋体" w:cs="宋体"/>
          <w:color w:val="auto"/>
          <w:kern w:val="0"/>
          <w:szCs w:val="21"/>
          <w:highlight w:val="none"/>
          <w:lang w:bidi="ar"/>
        </w:rPr>
        <w:t>经济损失。</w:t>
      </w:r>
    </w:p>
    <w:p w14:paraId="4A205AF0">
      <w:pPr>
        <w:widowControl/>
        <w:adjustRightInd w:val="0"/>
        <w:snapToGrid w:val="0"/>
        <w:spacing w:after="163" w:afterLines="50" w:line="480" w:lineRule="exact"/>
        <w:outlineLvl w:val="1"/>
        <w:rPr>
          <w:rFonts w:ascii="宋体" w:hAnsi="宋体" w:cs="Times"/>
          <w:color w:val="auto"/>
          <w:kern w:val="0"/>
          <w:highlight w:val="none"/>
        </w:rPr>
      </w:pPr>
      <w:bookmarkStart w:id="2693" w:name="_Toc20171889"/>
      <w:bookmarkEnd w:id="2693"/>
      <w:bookmarkStart w:id="2694" w:name="_Toc16477"/>
      <w:bookmarkStart w:id="2695" w:name="_Toc84930876"/>
      <w:bookmarkStart w:id="2696" w:name="_Toc170932607"/>
      <w:r>
        <w:rPr>
          <w:rFonts w:hint="eastAsia" w:ascii="宋体" w:hAnsi="宋体" w:cs="Times"/>
          <w:color w:val="auto"/>
          <w:kern w:val="0"/>
          <w:szCs w:val="21"/>
          <w:highlight w:val="none"/>
        </w:rPr>
        <w:t>第</w:t>
      </w:r>
      <w:r>
        <w:rPr>
          <w:rFonts w:ascii="宋体" w:hAnsi="宋体" w:cs="Times"/>
          <w:color w:val="auto"/>
          <w:kern w:val="0"/>
          <w:szCs w:val="21"/>
          <w:highlight w:val="none"/>
        </w:rPr>
        <w:t>16</w:t>
      </w:r>
      <w:r>
        <w:rPr>
          <w:rFonts w:hint="eastAsia" w:ascii="宋体" w:hAnsi="宋体" w:cs="Times"/>
          <w:color w:val="auto"/>
          <w:kern w:val="0"/>
          <w:szCs w:val="21"/>
          <w:highlight w:val="none"/>
        </w:rPr>
        <w:t>条合同解除</w:t>
      </w:r>
      <w:bookmarkEnd w:id="2694"/>
      <w:bookmarkEnd w:id="2695"/>
      <w:bookmarkEnd w:id="2696"/>
    </w:p>
    <w:p w14:paraId="17256BF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16.1</w:t>
      </w:r>
      <w:r>
        <w:rPr>
          <w:rFonts w:hint="eastAsia" w:ascii="宋体" w:hAnsi="宋体" w:cs="宋体"/>
          <w:color w:val="auto"/>
          <w:kern w:val="0"/>
          <w:szCs w:val="21"/>
          <w:highlight w:val="none"/>
        </w:rPr>
        <w:t>由发包人解除合同</w:t>
      </w:r>
    </w:p>
    <w:p w14:paraId="674B1814">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16.1.1</w:t>
      </w:r>
      <w:r>
        <w:rPr>
          <w:rFonts w:hint="eastAsia" w:ascii="宋体" w:hAnsi="宋体" w:cs="宋体"/>
          <w:color w:val="auto"/>
          <w:kern w:val="0"/>
          <w:szCs w:val="21"/>
          <w:highlight w:val="none"/>
        </w:rPr>
        <w:t>因承包人违约解除合同</w:t>
      </w:r>
    </w:p>
    <w:p w14:paraId="4D0BD3C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除通用合同条件约定外，可由发包人解除合同的其他事由：</w:t>
      </w:r>
    </w:p>
    <w:p w14:paraId="6598C99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）未按合同约定延迟提供履约担保、质量保证金超过</w:t>
      </w:r>
      <w:r>
        <w:rPr>
          <w:rFonts w:ascii="宋体" w:hAnsi="宋体" w:cs="宋体"/>
          <w:color w:val="auto"/>
          <w:kern w:val="0"/>
          <w:szCs w:val="21"/>
          <w:highlight w:val="none"/>
        </w:rPr>
        <w:t>14</w:t>
      </w:r>
      <w:r>
        <w:rPr>
          <w:rFonts w:hint="eastAsia" w:ascii="宋体" w:hAnsi="宋体" w:cs="宋体"/>
          <w:color w:val="auto"/>
          <w:kern w:val="0"/>
          <w:szCs w:val="21"/>
          <w:highlight w:val="none"/>
        </w:rPr>
        <w:t>天的；</w:t>
      </w:r>
    </w:p>
    <w:p w14:paraId="125C928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）未按合同约定购买保险且经催告后超过</w:t>
      </w:r>
      <w:r>
        <w:rPr>
          <w:rFonts w:ascii="宋体" w:hAnsi="宋体" w:cs="宋体"/>
          <w:color w:val="auto"/>
          <w:kern w:val="0"/>
          <w:szCs w:val="21"/>
          <w:highlight w:val="none"/>
        </w:rPr>
        <w:t>56</w:t>
      </w:r>
      <w:r>
        <w:rPr>
          <w:rFonts w:hint="eastAsia" w:ascii="宋体" w:hAnsi="宋体" w:cs="宋体"/>
          <w:color w:val="auto"/>
          <w:kern w:val="0"/>
          <w:szCs w:val="21"/>
          <w:highlight w:val="none"/>
        </w:rPr>
        <w:t>天的；</w:t>
      </w:r>
    </w:p>
    <w:p w14:paraId="2DBAFCD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）因承包人原因导致开始工作时间累计延误超过</w:t>
      </w:r>
      <w:r>
        <w:rPr>
          <w:rFonts w:ascii="宋体" w:hAnsi="宋体" w:cs="宋体"/>
          <w:color w:val="auto"/>
          <w:kern w:val="0"/>
          <w:szCs w:val="21"/>
          <w:highlight w:val="none"/>
        </w:rPr>
        <w:t>56</w:t>
      </w:r>
      <w:r>
        <w:rPr>
          <w:rFonts w:hint="eastAsia" w:ascii="宋体" w:hAnsi="宋体" w:cs="宋体"/>
          <w:color w:val="auto"/>
          <w:kern w:val="0"/>
          <w:szCs w:val="21"/>
          <w:highlight w:val="none"/>
        </w:rPr>
        <w:t>天的；</w:t>
      </w:r>
    </w:p>
    <w:p w14:paraId="32166EA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）因承包人原因导致工期延误超过</w:t>
      </w:r>
      <w:r>
        <w:rPr>
          <w:rFonts w:ascii="宋体" w:hAnsi="宋体" w:cs="宋体"/>
          <w:color w:val="auto"/>
          <w:kern w:val="0"/>
          <w:szCs w:val="21"/>
          <w:highlight w:val="none"/>
        </w:rPr>
        <w:t>90</w:t>
      </w:r>
      <w:r>
        <w:rPr>
          <w:rFonts w:hint="eastAsia" w:ascii="宋体" w:hAnsi="宋体" w:cs="宋体"/>
          <w:color w:val="auto"/>
          <w:kern w:val="0"/>
          <w:szCs w:val="21"/>
          <w:highlight w:val="none"/>
        </w:rPr>
        <w:t>天的；</w:t>
      </w:r>
    </w:p>
    <w:p w14:paraId="1BBD873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）发生第</w:t>
      </w:r>
      <w:r>
        <w:rPr>
          <w:rFonts w:ascii="宋体" w:hAnsi="宋体" w:cs="宋体"/>
          <w:color w:val="auto"/>
          <w:kern w:val="0"/>
          <w:szCs w:val="21"/>
          <w:highlight w:val="none"/>
        </w:rPr>
        <w:t>21.1.1</w:t>
      </w:r>
      <w:r>
        <w:rPr>
          <w:rFonts w:hint="eastAsia" w:ascii="宋体" w:hAnsi="宋体" w:cs="宋体"/>
          <w:color w:val="auto"/>
          <w:kern w:val="0"/>
          <w:szCs w:val="21"/>
          <w:highlight w:val="none"/>
        </w:rPr>
        <w:t>项约定的情形的；</w:t>
      </w:r>
    </w:p>
    <w:p w14:paraId="1A6AFA3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）监理人发出整改通知后，承包人在监理人限定的期限内仍不纠正违约行为的；</w:t>
      </w:r>
    </w:p>
    <w:p w14:paraId="35F3269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）承包人严重资不抵债且无法履行合同的；</w:t>
      </w:r>
    </w:p>
    <w:p w14:paraId="63A9294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）违反适用法律而被相关政府部门依法吊销营业执照、责令关闭的；</w:t>
      </w:r>
    </w:p>
    <w:p w14:paraId="775BD95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）承包人未履行合同项下的义务构成对合同的实质性违约，并且在收到发包人要求说明其违约并予以补救的通知后</w:t>
      </w:r>
      <w:r>
        <w:rPr>
          <w:rFonts w:ascii="宋体" w:hAnsi="宋体" w:cs="宋体"/>
          <w:color w:val="auto"/>
          <w:kern w:val="0"/>
          <w:szCs w:val="21"/>
          <w:highlight w:val="none"/>
        </w:rPr>
        <w:t>56</w:t>
      </w:r>
      <w:r>
        <w:rPr>
          <w:rFonts w:hint="eastAsia" w:ascii="宋体" w:hAnsi="宋体" w:cs="宋体"/>
          <w:color w:val="auto"/>
          <w:kern w:val="0"/>
          <w:szCs w:val="21"/>
          <w:highlight w:val="none"/>
        </w:rPr>
        <w:t>天内仍未能补救该实质性违约的；</w:t>
      </w:r>
    </w:p>
    <w:p w14:paraId="12E1D28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10</w:t>
      </w:r>
      <w:r>
        <w:rPr>
          <w:rFonts w:hint="eastAsia" w:ascii="宋体" w:hAnsi="宋体" w:cs="宋体"/>
          <w:color w:val="auto"/>
          <w:kern w:val="0"/>
          <w:szCs w:val="21"/>
          <w:highlight w:val="none"/>
        </w:rPr>
        <w:t>）合同约定其他情况的，发包人有权解除合同的。</w:t>
      </w:r>
    </w:p>
    <w:p w14:paraId="142CFEF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16.2 </w:t>
      </w:r>
      <w:r>
        <w:rPr>
          <w:rFonts w:hint="eastAsia" w:ascii="宋体" w:hAnsi="宋体" w:cs="宋体"/>
          <w:color w:val="auto"/>
          <w:kern w:val="0"/>
          <w:szCs w:val="21"/>
          <w:highlight w:val="none"/>
        </w:rPr>
        <w:t>由承包人解除合同</w:t>
      </w:r>
    </w:p>
    <w:p w14:paraId="1280256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16.2.1 </w:t>
      </w:r>
      <w:r>
        <w:rPr>
          <w:rFonts w:hint="eastAsia" w:ascii="宋体" w:hAnsi="宋体" w:cs="宋体"/>
          <w:color w:val="auto"/>
          <w:kern w:val="0"/>
          <w:szCs w:val="21"/>
          <w:highlight w:val="none"/>
        </w:rPr>
        <w:t>因发包人违约解除合同</w:t>
      </w:r>
    </w:p>
    <w:p w14:paraId="4DC6C14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除通用合同条件约定外，可由承包人解除合同的其他事由：</w:t>
      </w:r>
    </w:p>
    <w:p w14:paraId="10DF77C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）因发包人原因延迟支付合同价款超过</w:t>
      </w:r>
      <w:r>
        <w:rPr>
          <w:rFonts w:ascii="宋体" w:hAnsi="宋体" w:cs="宋体"/>
          <w:color w:val="auto"/>
          <w:kern w:val="0"/>
          <w:szCs w:val="21"/>
          <w:highlight w:val="none"/>
        </w:rPr>
        <w:t>180</w:t>
      </w:r>
      <w:r>
        <w:rPr>
          <w:rFonts w:hint="eastAsia" w:ascii="宋体" w:hAnsi="宋体" w:cs="宋体"/>
          <w:color w:val="auto"/>
          <w:kern w:val="0"/>
          <w:szCs w:val="21"/>
          <w:highlight w:val="none"/>
        </w:rPr>
        <w:t>天的；</w:t>
      </w:r>
    </w:p>
    <w:p w14:paraId="140A66A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）因发包人原因导致工期延误超过</w:t>
      </w:r>
      <w:r>
        <w:rPr>
          <w:rFonts w:ascii="宋体" w:hAnsi="宋体" w:cs="宋体"/>
          <w:color w:val="auto"/>
          <w:kern w:val="0"/>
          <w:szCs w:val="21"/>
          <w:highlight w:val="none"/>
        </w:rPr>
        <w:t>90</w:t>
      </w:r>
      <w:r>
        <w:rPr>
          <w:rFonts w:hint="eastAsia" w:ascii="宋体" w:hAnsi="宋体" w:cs="宋体"/>
          <w:color w:val="auto"/>
          <w:kern w:val="0"/>
          <w:szCs w:val="21"/>
          <w:highlight w:val="none"/>
        </w:rPr>
        <w:t>天的；</w:t>
      </w:r>
    </w:p>
    <w:p w14:paraId="1A0D23A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）因发包人违约导致暂停施工满</w:t>
      </w:r>
      <w:r>
        <w:rPr>
          <w:rFonts w:ascii="宋体" w:hAnsi="宋体" w:cs="宋体"/>
          <w:color w:val="auto"/>
          <w:kern w:val="0"/>
          <w:szCs w:val="21"/>
          <w:highlight w:val="none"/>
        </w:rPr>
        <w:t>56</w:t>
      </w:r>
      <w:r>
        <w:rPr>
          <w:rFonts w:hint="eastAsia" w:ascii="宋体" w:hAnsi="宋体" w:cs="宋体"/>
          <w:color w:val="auto"/>
          <w:kern w:val="0"/>
          <w:szCs w:val="21"/>
          <w:highlight w:val="none"/>
        </w:rPr>
        <w:t>天，且发包人仍未纠正其违约行为的；</w:t>
      </w:r>
    </w:p>
    <w:p w14:paraId="66CFD39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）其他未履行合同项下的义务构成对合同的实质性违约，并且在收到承包人要求说明其违约并予以补救的通知后</w:t>
      </w:r>
      <w:r>
        <w:rPr>
          <w:rFonts w:ascii="宋体" w:hAnsi="宋体" w:cs="宋体"/>
          <w:color w:val="auto"/>
          <w:kern w:val="0"/>
          <w:szCs w:val="21"/>
          <w:highlight w:val="none"/>
        </w:rPr>
        <w:t>56</w:t>
      </w:r>
      <w:r>
        <w:rPr>
          <w:rFonts w:hint="eastAsia" w:ascii="宋体" w:hAnsi="宋体" w:cs="宋体"/>
          <w:color w:val="auto"/>
          <w:kern w:val="0"/>
          <w:szCs w:val="21"/>
          <w:highlight w:val="none"/>
        </w:rPr>
        <w:t>天内仍未补救该实质性违约的。</w:t>
      </w:r>
    </w:p>
    <w:p w14:paraId="08E5F7D9">
      <w:pPr>
        <w:widowControl/>
        <w:adjustRightInd w:val="0"/>
        <w:snapToGrid w:val="0"/>
        <w:spacing w:after="163" w:afterLines="50" w:line="480" w:lineRule="exact"/>
        <w:outlineLvl w:val="1"/>
        <w:rPr>
          <w:rFonts w:ascii="宋体" w:hAnsi="宋体" w:cs="Times"/>
          <w:color w:val="auto"/>
          <w:kern w:val="0"/>
          <w:highlight w:val="none"/>
        </w:rPr>
      </w:pPr>
      <w:bookmarkStart w:id="2697" w:name="_Toc20171890"/>
      <w:bookmarkEnd w:id="2697"/>
      <w:bookmarkStart w:id="2698" w:name="_Toc84930877"/>
      <w:bookmarkStart w:id="2699" w:name="_Toc170932608"/>
      <w:bookmarkStart w:id="2700" w:name="_Toc2051"/>
      <w:r>
        <w:rPr>
          <w:rFonts w:hint="eastAsia" w:ascii="宋体" w:hAnsi="宋体" w:cs="Times"/>
          <w:color w:val="auto"/>
          <w:kern w:val="0"/>
          <w:szCs w:val="21"/>
          <w:highlight w:val="none"/>
        </w:rPr>
        <w:t>第</w:t>
      </w:r>
      <w:r>
        <w:rPr>
          <w:rFonts w:ascii="宋体" w:hAnsi="宋体" w:cs="Times"/>
          <w:color w:val="auto"/>
          <w:kern w:val="0"/>
          <w:szCs w:val="21"/>
          <w:highlight w:val="none"/>
        </w:rPr>
        <w:t>17</w:t>
      </w:r>
      <w:r>
        <w:rPr>
          <w:rFonts w:hint="eastAsia" w:ascii="宋体" w:hAnsi="宋体" w:cs="Times"/>
          <w:color w:val="auto"/>
          <w:kern w:val="0"/>
          <w:szCs w:val="21"/>
          <w:highlight w:val="none"/>
        </w:rPr>
        <w:t>条不可抗力</w:t>
      </w:r>
      <w:bookmarkEnd w:id="2698"/>
      <w:bookmarkEnd w:id="2699"/>
      <w:bookmarkEnd w:id="2700"/>
    </w:p>
    <w:p w14:paraId="51FC700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17.1 </w:t>
      </w:r>
      <w:r>
        <w:rPr>
          <w:rFonts w:hint="eastAsia" w:ascii="宋体" w:hAnsi="宋体" w:cs="宋体"/>
          <w:color w:val="auto"/>
          <w:kern w:val="0"/>
          <w:szCs w:val="21"/>
          <w:highlight w:val="none"/>
        </w:rPr>
        <w:t>不可抗力的定义</w:t>
      </w:r>
    </w:p>
    <w:p w14:paraId="33E2846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除通用合同条件约定的不可抗力事件之外，视为不可抗力的其他情形：</w:t>
      </w:r>
    </w:p>
    <w:p w14:paraId="44D22D2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）洪水、火山爆发、山崩、山体滑坡、泥石流、龙卷风、隧道内不可预测的突发性地质灾害等自然灾害；</w:t>
      </w:r>
    </w:p>
    <w:p w14:paraId="614017F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）封锁、禁运、恐怖行为等社会行为，但承包人或其分包人派遣与雇佣的人员由于合同工程施工原因引起的除外；</w:t>
      </w:r>
    </w:p>
    <w:p w14:paraId="52C32A8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）不能合理预见的重大交通阻滞、停运、交通事故，非双方责任引起的火灾、爆炸、船舶撞击等情形；</w:t>
      </w:r>
    </w:p>
    <w:p w14:paraId="0644754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）化学或放射性污染或核辐射；</w:t>
      </w:r>
    </w:p>
    <w:p w14:paraId="27A7E92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）环保治理等政府行为导致项目停工的。</w:t>
      </w:r>
    </w:p>
    <w:p w14:paraId="4EEC10A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17.6 </w:t>
      </w:r>
      <w:r>
        <w:rPr>
          <w:rFonts w:hint="eastAsia" w:ascii="宋体" w:hAnsi="宋体" w:cs="宋体"/>
          <w:color w:val="auto"/>
          <w:kern w:val="0"/>
          <w:szCs w:val="21"/>
          <w:highlight w:val="none"/>
        </w:rPr>
        <w:t>因不可抗力解除合同</w:t>
      </w:r>
    </w:p>
    <w:p w14:paraId="5FE81790">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合同解除后，发包人应当在商定或确定发包人应支付款项后的</w:t>
      </w:r>
      <w:r>
        <w:rPr>
          <w:rFonts w:ascii="宋体" w:hAnsi="宋体" w:cs="宋体"/>
          <w:color w:val="auto"/>
          <w:kern w:val="0"/>
          <w:szCs w:val="21"/>
          <w:highlight w:val="none"/>
          <w:u w:val="single"/>
        </w:rPr>
        <w:t>28</w:t>
      </w:r>
      <w:r>
        <w:rPr>
          <w:rFonts w:hint="eastAsia" w:ascii="宋体" w:hAnsi="宋体" w:cs="宋体"/>
          <w:color w:val="auto"/>
          <w:kern w:val="0"/>
          <w:szCs w:val="21"/>
          <w:highlight w:val="none"/>
        </w:rPr>
        <w:t>天内完成款项的支付。</w:t>
      </w:r>
    </w:p>
    <w:p w14:paraId="42E7E3C7">
      <w:pPr>
        <w:widowControl/>
        <w:adjustRightInd w:val="0"/>
        <w:snapToGrid w:val="0"/>
        <w:spacing w:after="163" w:afterLines="50" w:line="480" w:lineRule="exact"/>
        <w:outlineLvl w:val="1"/>
        <w:rPr>
          <w:rFonts w:ascii="宋体" w:hAnsi="宋体" w:cs="Times"/>
          <w:color w:val="auto"/>
          <w:kern w:val="0"/>
          <w:highlight w:val="none"/>
        </w:rPr>
      </w:pPr>
      <w:bookmarkStart w:id="2701" w:name="_Toc4784276"/>
      <w:bookmarkEnd w:id="2701"/>
      <w:bookmarkStart w:id="2702" w:name="_Toc4784277"/>
      <w:bookmarkEnd w:id="2702"/>
      <w:bookmarkStart w:id="2703" w:name="_Toc20171891"/>
      <w:bookmarkEnd w:id="2703"/>
      <w:bookmarkStart w:id="2704" w:name="_Toc26351"/>
      <w:bookmarkStart w:id="2705" w:name="_Toc170932609"/>
      <w:bookmarkStart w:id="2706" w:name="_Toc84930878"/>
      <w:r>
        <w:rPr>
          <w:rFonts w:hint="eastAsia" w:ascii="宋体" w:hAnsi="宋体" w:cs="Times"/>
          <w:color w:val="auto"/>
          <w:kern w:val="0"/>
          <w:szCs w:val="21"/>
          <w:highlight w:val="none"/>
        </w:rPr>
        <w:t>第</w:t>
      </w:r>
      <w:r>
        <w:rPr>
          <w:rFonts w:ascii="宋体" w:hAnsi="宋体" w:cs="Times"/>
          <w:color w:val="auto"/>
          <w:kern w:val="0"/>
          <w:szCs w:val="21"/>
          <w:highlight w:val="none"/>
        </w:rPr>
        <w:t>18</w:t>
      </w:r>
      <w:r>
        <w:rPr>
          <w:rFonts w:hint="eastAsia" w:ascii="宋体" w:hAnsi="宋体" w:cs="Times"/>
          <w:color w:val="auto"/>
          <w:kern w:val="0"/>
          <w:szCs w:val="21"/>
          <w:highlight w:val="none"/>
        </w:rPr>
        <w:t>条保险</w:t>
      </w:r>
      <w:bookmarkEnd w:id="2704"/>
      <w:bookmarkEnd w:id="2705"/>
      <w:bookmarkEnd w:id="2706"/>
    </w:p>
    <w:p w14:paraId="2342BDC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18.1 </w:t>
      </w:r>
      <w:r>
        <w:rPr>
          <w:rFonts w:hint="eastAsia" w:ascii="宋体" w:hAnsi="宋体" w:cs="宋体"/>
          <w:color w:val="auto"/>
          <w:kern w:val="0"/>
          <w:szCs w:val="21"/>
          <w:highlight w:val="none"/>
        </w:rPr>
        <w:t>工程保险</w:t>
      </w:r>
    </w:p>
    <w:p w14:paraId="70339C4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18.1.1 </w:t>
      </w:r>
      <w:r>
        <w:rPr>
          <w:rFonts w:hint="eastAsia" w:ascii="宋体" w:hAnsi="宋体" w:cs="宋体"/>
          <w:color w:val="auto"/>
          <w:kern w:val="0"/>
          <w:szCs w:val="21"/>
          <w:highlight w:val="none"/>
        </w:rPr>
        <w:t>双方当事人关于工程保险的特别约定：承包人应投保建设工程责任险，</w:t>
      </w:r>
      <w:r>
        <w:rPr>
          <w:rFonts w:hint="eastAsia" w:ascii="宋体" w:hAnsi="宋体" w:cs="宋体"/>
          <w:color w:val="auto"/>
          <w:kern w:val="0"/>
          <w:szCs w:val="21"/>
          <w:highlight w:val="none"/>
          <w:u w:val="single"/>
        </w:rPr>
        <w:t>发包人应投保建筑工程一切险或安装工程一切险；发包人委托承包人投保的，因投保产生的保险费和其他相关费用由发包人承担</w:t>
      </w:r>
      <w:r>
        <w:rPr>
          <w:rFonts w:hint="eastAsia" w:ascii="宋体" w:hAnsi="宋体" w:cs="宋体"/>
          <w:color w:val="auto"/>
          <w:kern w:val="0"/>
          <w:szCs w:val="21"/>
          <w:highlight w:val="none"/>
        </w:rPr>
        <w:t>。</w:t>
      </w:r>
    </w:p>
    <w:p w14:paraId="4603BA9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18.1.2 </w:t>
      </w:r>
      <w:r>
        <w:rPr>
          <w:rFonts w:hint="eastAsia" w:ascii="宋体" w:hAnsi="宋体" w:cs="宋体"/>
          <w:color w:val="auto"/>
          <w:kern w:val="0"/>
          <w:szCs w:val="21"/>
          <w:highlight w:val="none"/>
        </w:rPr>
        <w:t>双方当事人关于第三方责任险的特别约定：。</w:t>
      </w:r>
    </w:p>
    <w:p w14:paraId="0D199F9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18.2 </w:t>
      </w:r>
      <w:r>
        <w:rPr>
          <w:rFonts w:hint="eastAsia" w:ascii="宋体" w:hAnsi="宋体" w:cs="宋体"/>
          <w:color w:val="auto"/>
          <w:kern w:val="0"/>
          <w:szCs w:val="21"/>
          <w:highlight w:val="none"/>
        </w:rPr>
        <w:t>工伤和意外伤害保险</w:t>
      </w:r>
    </w:p>
    <w:p w14:paraId="13F0C91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18.2.3 </w:t>
      </w:r>
      <w:r>
        <w:rPr>
          <w:rFonts w:hint="eastAsia" w:ascii="宋体" w:hAnsi="宋体" w:cs="宋体"/>
          <w:color w:val="auto"/>
          <w:kern w:val="0"/>
          <w:szCs w:val="21"/>
          <w:highlight w:val="none"/>
        </w:rPr>
        <w:t>关于工伤保险和意外伤害保险的特别约定：。</w:t>
      </w:r>
    </w:p>
    <w:p w14:paraId="2627302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18.3 </w:t>
      </w:r>
      <w:r>
        <w:rPr>
          <w:rFonts w:hint="eastAsia" w:ascii="宋体" w:hAnsi="宋体" w:cs="宋体"/>
          <w:color w:val="auto"/>
          <w:kern w:val="0"/>
          <w:szCs w:val="21"/>
          <w:highlight w:val="none"/>
        </w:rPr>
        <w:t>货物保险</w:t>
      </w:r>
    </w:p>
    <w:p w14:paraId="1847910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关于承包人应为其施工设备、材料、工程设备和临时工程等办理财产保险的特别约定：。</w:t>
      </w:r>
    </w:p>
    <w:p w14:paraId="137B41F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18.4 </w:t>
      </w:r>
      <w:r>
        <w:rPr>
          <w:rFonts w:hint="eastAsia" w:ascii="宋体" w:hAnsi="宋体" w:cs="宋体"/>
          <w:color w:val="auto"/>
          <w:kern w:val="0"/>
          <w:szCs w:val="21"/>
          <w:highlight w:val="none"/>
        </w:rPr>
        <w:t>其他保险</w:t>
      </w:r>
    </w:p>
    <w:p w14:paraId="4A7BD54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关于其他保险的约定：</w:t>
      </w:r>
      <w:r>
        <w:rPr>
          <w:rFonts w:hint="eastAsia" w:ascii="宋体" w:hAnsi="宋体" w:cs="宋体"/>
          <w:color w:val="auto"/>
          <w:kern w:val="0"/>
          <w:szCs w:val="21"/>
          <w:highlight w:val="none"/>
          <w:u w:val="single"/>
        </w:rPr>
        <w:t>承包人应按《重庆市人民政府办公厅关于在高危行业领域强制推行安全生产责任保险的实施意见》（渝府办法〔</w:t>
      </w:r>
      <w:r>
        <w:rPr>
          <w:rFonts w:ascii="宋体" w:hAnsi="宋体" w:cs="宋体"/>
          <w:color w:val="auto"/>
          <w:kern w:val="0"/>
          <w:szCs w:val="21"/>
          <w:highlight w:val="none"/>
          <w:u w:val="single"/>
        </w:rPr>
        <w:t>2017</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182</w:t>
      </w:r>
      <w:r>
        <w:rPr>
          <w:rFonts w:hint="eastAsia" w:ascii="宋体" w:hAnsi="宋体" w:cs="宋体"/>
          <w:color w:val="auto"/>
          <w:kern w:val="0"/>
          <w:szCs w:val="21"/>
          <w:highlight w:val="none"/>
          <w:u w:val="single"/>
        </w:rPr>
        <w:t>号）的要求办理安全生产责任保险</w:t>
      </w:r>
      <w:r>
        <w:rPr>
          <w:rFonts w:hint="eastAsia" w:ascii="宋体" w:hAnsi="宋体" w:cs="宋体"/>
          <w:color w:val="auto"/>
          <w:kern w:val="0"/>
          <w:szCs w:val="21"/>
          <w:highlight w:val="none"/>
        </w:rPr>
        <w:t>。</w:t>
      </w:r>
    </w:p>
    <w:p w14:paraId="72CAA73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18.5</w:t>
      </w:r>
      <w:r>
        <w:rPr>
          <w:rFonts w:hint="eastAsia" w:ascii="宋体" w:hAnsi="宋体" w:cs="宋体"/>
          <w:color w:val="auto"/>
          <w:kern w:val="0"/>
          <w:szCs w:val="21"/>
          <w:highlight w:val="none"/>
        </w:rPr>
        <w:t>对各项保险的一般要求</w:t>
      </w:r>
    </w:p>
    <w:p w14:paraId="2CC7D07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18.5.2 </w:t>
      </w:r>
      <w:r>
        <w:rPr>
          <w:rFonts w:hint="eastAsia" w:ascii="宋体" w:hAnsi="宋体" w:cs="宋体"/>
          <w:color w:val="auto"/>
          <w:kern w:val="0"/>
          <w:szCs w:val="21"/>
          <w:highlight w:val="none"/>
        </w:rPr>
        <w:t>保险凭证</w:t>
      </w:r>
    </w:p>
    <w:p w14:paraId="67B2AB7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u w:val="single"/>
        </w:rPr>
        <w:t>开始工作前，承包人向发包人提交其已投保的各项保险的凭证和保险单复印件。</w:t>
      </w:r>
    </w:p>
    <w:p w14:paraId="3AE93EE6">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保险单的条件：</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D1503F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18.5.4</w:t>
      </w:r>
      <w:r>
        <w:rPr>
          <w:rFonts w:hint="eastAsia" w:ascii="宋体" w:hAnsi="宋体" w:cs="宋体"/>
          <w:color w:val="auto"/>
          <w:kern w:val="0"/>
          <w:szCs w:val="21"/>
          <w:highlight w:val="none"/>
        </w:rPr>
        <w:t>通知义务</w:t>
      </w:r>
    </w:p>
    <w:p w14:paraId="396A42B9">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kern w:val="0"/>
          <w:szCs w:val="21"/>
          <w:highlight w:val="none"/>
          <w:u w:val="single"/>
        </w:rPr>
        <w:t>按通用合同条件执行</w:t>
      </w:r>
      <w:r>
        <w:rPr>
          <w:rFonts w:hint="eastAsia" w:ascii="宋体" w:hAnsi="宋体" w:cs="宋体"/>
          <w:color w:val="auto"/>
          <w:kern w:val="0"/>
          <w:szCs w:val="21"/>
          <w:highlight w:val="none"/>
        </w:rPr>
        <w:t>。</w:t>
      </w:r>
    </w:p>
    <w:p w14:paraId="5D81AA43">
      <w:pPr>
        <w:widowControl/>
        <w:adjustRightInd w:val="0"/>
        <w:snapToGrid w:val="0"/>
        <w:spacing w:after="163" w:afterLines="50" w:line="480" w:lineRule="exact"/>
        <w:outlineLvl w:val="1"/>
        <w:rPr>
          <w:rFonts w:ascii="宋体" w:hAnsi="宋体" w:cs="Times"/>
          <w:color w:val="auto"/>
          <w:kern w:val="0"/>
          <w:highlight w:val="none"/>
        </w:rPr>
      </w:pPr>
      <w:bookmarkStart w:id="2707" w:name="_Toc84930879"/>
      <w:bookmarkStart w:id="2708" w:name="_Toc170932610"/>
      <w:bookmarkStart w:id="2709" w:name="_Toc9667"/>
      <w:r>
        <w:rPr>
          <w:rFonts w:hint="eastAsia" w:ascii="宋体" w:hAnsi="宋体" w:cs="Times"/>
          <w:color w:val="auto"/>
          <w:kern w:val="0"/>
          <w:szCs w:val="21"/>
          <w:highlight w:val="none"/>
        </w:rPr>
        <w:t>第</w:t>
      </w:r>
      <w:r>
        <w:rPr>
          <w:rFonts w:ascii="宋体" w:hAnsi="宋体" w:cs="Times"/>
          <w:color w:val="auto"/>
          <w:kern w:val="0"/>
          <w:szCs w:val="21"/>
          <w:highlight w:val="none"/>
        </w:rPr>
        <w:t>19</w:t>
      </w:r>
      <w:r>
        <w:rPr>
          <w:rFonts w:hint="eastAsia" w:ascii="宋体" w:hAnsi="宋体" w:cs="Times"/>
          <w:color w:val="auto"/>
          <w:kern w:val="0"/>
          <w:szCs w:val="21"/>
          <w:highlight w:val="none"/>
        </w:rPr>
        <w:t>条索赔</w:t>
      </w:r>
      <w:bookmarkEnd w:id="2707"/>
      <w:bookmarkEnd w:id="2708"/>
      <w:bookmarkEnd w:id="2709"/>
    </w:p>
    <w:p w14:paraId="75BDF310">
      <w:pPr>
        <w:widowControl/>
        <w:adjustRightInd w:val="0"/>
        <w:snapToGrid w:val="0"/>
        <w:spacing w:after="163" w:afterLines="50" w:line="480" w:lineRule="exact"/>
        <w:ind w:firstLine="420" w:firstLineChars="200"/>
        <w:rPr>
          <w:rFonts w:ascii="宋体" w:hAnsi="宋体" w:cs="宋体"/>
          <w:color w:val="auto"/>
          <w:kern w:val="0"/>
          <w:highlight w:val="none"/>
        </w:rPr>
      </w:pPr>
      <w:bookmarkStart w:id="2710" w:name="_Toc532375675"/>
      <w:bookmarkEnd w:id="2710"/>
      <w:bookmarkStart w:id="2711" w:name="_Toc532375676"/>
      <w:bookmarkEnd w:id="2711"/>
      <w:bookmarkStart w:id="2712" w:name="_Toc532377415"/>
      <w:r>
        <w:rPr>
          <w:rFonts w:ascii="宋体" w:hAnsi="宋体" w:cs="宋体"/>
          <w:color w:val="auto"/>
          <w:kern w:val="0"/>
          <w:szCs w:val="21"/>
          <w:highlight w:val="none"/>
        </w:rPr>
        <w:t>19.2</w:t>
      </w:r>
      <w:bookmarkEnd w:id="2712"/>
      <w:r>
        <w:rPr>
          <w:rFonts w:hint="eastAsia" w:ascii="宋体" w:hAnsi="宋体" w:cs="宋体"/>
          <w:color w:val="auto"/>
          <w:kern w:val="0"/>
          <w:szCs w:val="21"/>
          <w:highlight w:val="none"/>
        </w:rPr>
        <w:t>承包人索赔的处理程序</w:t>
      </w:r>
    </w:p>
    <w:p w14:paraId="40D9093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）监理人应在收到索赔报告后</w:t>
      </w:r>
      <w:r>
        <w:rPr>
          <w:rFonts w:ascii="宋体" w:hAnsi="宋体" w:cs="宋体"/>
          <w:color w:val="auto"/>
          <w:kern w:val="0"/>
          <w:szCs w:val="21"/>
          <w:highlight w:val="none"/>
        </w:rPr>
        <w:t>14</w:t>
      </w:r>
      <w:r>
        <w:rPr>
          <w:rFonts w:hint="eastAsia" w:ascii="宋体" w:hAnsi="宋体" w:cs="宋体"/>
          <w:color w:val="auto"/>
          <w:kern w:val="0"/>
          <w:szCs w:val="21"/>
          <w:highlight w:val="none"/>
        </w:rPr>
        <w:t>天内完成审查并报送发包人。监理人对索赔报告存在异议的，有权要求承包人提交全部原始记录副本；</w:t>
      </w:r>
    </w:p>
    <w:p w14:paraId="3F5AB6BE">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）发包人应在监理人收到索赔报告或有关索赔的进一步证明材料后的</w:t>
      </w:r>
      <w:r>
        <w:rPr>
          <w:rFonts w:ascii="宋体" w:hAnsi="宋体" w:cs="宋体"/>
          <w:color w:val="auto"/>
          <w:kern w:val="0"/>
          <w:szCs w:val="21"/>
          <w:highlight w:val="none"/>
        </w:rPr>
        <w:t>28</w:t>
      </w:r>
      <w:r>
        <w:rPr>
          <w:rFonts w:hint="eastAsia" w:ascii="宋体" w:hAnsi="宋体" w:cs="宋体"/>
          <w:color w:val="auto"/>
          <w:kern w:val="0"/>
          <w:szCs w:val="21"/>
          <w:highlight w:val="none"/>
        </w:rPr>
        <w:t>天内，由监理人向承包人出具经发包人签认的索赔处理结果。发包人逾期未答复的，承包人应以书面形式催告发包人，经承包人三次（每次间隔不少于</w:t>
      </w:r>
      <w:r>
        <w:rPr>
          <w:rFonts w:ascii="宋体" w:hAnsi="宋体" w:cs="宋体"/>
          <w:color w:val="auto"/>
          <w:kern w:val="0"/>
          <w:szCs w:val="21"/>
          <w:highlight w:val="none"/>
        </w:rPr>
        <w:t>3</w:t>
      </w:r>
      <w:r>
        <w:rPr>
          <w:rFonts w:hint="eastAsia" w:ascii="宋体" w:hAnsi="宋体" w:cs="宋体"/>
          <w:color w:val="auto"/>
          <w:kern w:val="0"/>
          <w:szCs w:val="21"/>
          <w:highlight w:val="none"/>
        </w:rPr>
        <w:t>天）书面催告后，发包人仍未按期限答复的，则视为认可承包人的索赔要求；</w:t>
      </w:r>
    </w:p>
    <w:p w14:paraId="1CFEE6D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）承包人接受索赔处理结果的，索赔款项在当期进度款中进行支付；承包人不接受索赔处理结果的，按照第</w:t>
      </w:r>
      <w:r>
        <w:rPr>
          <w:rFonts w:ascii="宋体" w:hAnsi="宋体" w:cs="宋体"/>
          <w:color w:val="auto"/>
          <w:kern w:val="0"/>
          <w:szCs w:val="21"/>
          <w:highlight w:val="none"/>
        </w:rPr>
        <w:t>20</w:t>
      </w:r>
      <w:r>
        <w:rPr>
          <w:rFonts w:hint="eastAsia" w:ascii="宋体" w:hAnsi="宋体" w:cs="宋体"/>
          <w:color w:val="auto"/>
          <w:kern w:val="0"/>
          <w:szCs w:val="21"/>
          <w:highlight w:val="none"/>
        </w:rPr>
        <w:t>条</w:t>
      </w:r>
      <w:r>
        <w:rPr>
          <w:rFonts w:ascii="宋体" w:hAnsi="宋体" w:cs="宋体"/>
          <w:color w:val="auto"/>
          <w:kern w:val="0"/>
          <w:szCs w:val="21"/>
          <w:highlight w:val="none"/>
        </w:rPr>
        <w:t>[</w:t>
      </w:r>
      <w:r>
        <w:rPr>
          <w:rFonts w:hint="eastAsia" w:ascii="宋体" w:hAnsi="宋体" w:cs="宋体"/>
          <w:color w:val="auto"/>
          <w:kern w:val="0"/>
          <w:szCs w:val="21"/>
          <w:highlight w:val="none"/>
        </w:rPr>
        <w:t>争议解决</w:t>
      </w:r>
      <w:r>
        <w:rPr>
          <w:rFonts w:ascii="宋体" w:hAnsi="宋体" w:cs="宋体"/>
          <w:color w:val="auto"/>
          <w:kern w:val="0"/>
          <w:szCs w:val="21"/>
          <w:highlight w:val="none"/>
        </w:rPr>
        <w:t>]</w:t>
      </w:r>
      <w:r>
        <w:rPr>
          <w:rFonts w:hint="eastAsia" w:ascii="宋体" w:hAnsi="宋体" w:cs="宋体"/>
          <w:color w:val="auto"/>
          <w:kern w:val="0"/>
          <w:szCs w:val="21"/>
          <w:highlight w:val="none"/>
        </w:rPr>
        <w:t>约定处理；</w:t>
      </w:r>
    </w:p>
    <w:p w14:paraId="4AA95217">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）工期延误的关键线路按照经监理人、发包人审批同意的施工组织设计计算。</w:t>
      </w:r>
    </w:p>
    <w:p w14:paraId="646F04E6">
      <w:pPr>
        <w:widowControl/>
        <w:adjustRightInd w:val="0"/>
        <w:snapToGrid w:val="0"/>
        <w:spacing w:after="163" w:afterLines="50" w:line="480" w:lineRule="exact"/>
        <w:ind w:firstLine="420" w:firstLineChars="200"/>
        <w:rPr>
          <w:color w:val="auto"/>
          <w:highlight w:val="none"/>
        </w:rPr>
      </w:pPr>
      <w:r>
        <w:rPr>
          <w:rFonts w:hint="eastAsia" w:ascii="宋体" w:hAnsi="宋体" w:cs="宋体"/>
          <w:color w:val="auto"/>
          <w:kern w:val="0"/>
          <w:szCs w:val="21"/>
          <w:highlight w:val="none"/>
        </w:rPr>
        <w:t>（5）任一索赔事件发生后</w:t>
      </w:r>
      <w:r>
        <w:rPr>
          <w:rFonts w:ascii="宋体" w:hAnsi="宋体" w:cs="宋体"/>
          <w:color w:val="auto"/>
          <w:kern w:val="0"/>
          <w:szCs w:val="21"/>
          <w:highlight w:val="none"/>
        </w:rPr>
        <w:t>28</w:t>
      </w:r>
      <w:r>
        <w:rPr>
          <w:rFonts w:hint="eastAsia" w:ascii="宋体" w:hAnsi="宋体" w:cs="宋体"/>
          <w:color w:val="auto"/>
          <w:kern w:val="0"/>
          <w:szCs w:val="21"/>
          <w:highlight w:val="none"/>
        </w:rPr>
        <w:t>天内，承包人未向发包人发出索赔意向通知书的，视为其已放弃索赔权，无权再就该索赔事项提出任何索赔。</w:t>
      </w:r>
    </w:p>
    <w:p w14:paraId="484A8DC9">
      <w:pPr>
        <w:widowControl/>
        <w:adjustRightInd w:val="0"/>
        <w:snapToGrid w:val="0"/>
        <w:spacing w:after="163" w:afterLines="50" w:line="480" w:lineRule="exact"/>
        <w:ind w:firstLine="420" w:firstLineChars="200"/>
        <w:rPr>
          <w:rFonts w:ascii="宋体" w:hAnsi="宋体" w:cs="宋体"/>
          <w:color w:val="auto"/>
          <w:kern w:val="0"/>
          <w:highlight w:val="none"/>
        </w:rPr>
      </w:pPr>
      <w:bookmarkStart w:id="2713" w:name="_Toc532377416"/>
      <w:bookmarkEnd w:id="2713"/>
      <w:bookmarkStart w:id="2714" w:name="_Toc532377417"/>
      <w:bookmarkEnd w:id="2714"/>
      <w:bookmarkStart w:id="2715" w:name="_Toc532375678"/>
      <w:r>
        <w:rPr>
          <w:rFonts w:ascii="宋体" w:hAnsi="宋体" w:cs="宋体"/>
          <w:color w:val="auto"/>
          <w:kern w:val="0"/>
          <w:szCs w:val="21"/>
          <w:highlight w:val="none"/>
        </w:rPr>
        <w:t>19.</w:t>
      </w:r>
      <w:bookmarkEnd w:id="2715"/>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发包人索赔的处理程序</w:t>
      </w:r>
    </w:p>
    <w:p w14:paraId="5B2547AA">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）承包人收到发包人提交的索赔报告后，应及时审查索赔报告的内容、查验发包人证明材料；</w:t>
      </w:r>
    </w:p>
    <w:p w14:paraId="0E246A2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）承包人应在收到索赔报告或有关索赔的进一步证明材料后</w:t>
      </w:r>
      <w:r>
        <w:rPr>
          <w:rFonts w:ascii="宋体" w:hAnsi="宋体" w:cs="宋体"/>
          <w:color w:val="auto"/>
          <w:kern w:val="0"/>
          <w:szCs w:val="21"/>
          <w:highlight w:val="none"/>
        </w:rPr>
        <w:t>28</w:t>
      </w:r>
      <w:r>
        <w:rPr>
          <w:rFonts w:hint="eastAsia" w:ascii="宋体" w:hAnsi="宋体" w:cs="宋体"/>
          <w:color w:val="auto"/>
          <w:kern w:val="0"/>
          <w:szCs w:val="21"/>
          <w:highlight w:val="none"/>
        </w:rPr>
        <w:t>天内，将索赔处理结果答复发包人。如果承包人未在上述期限内作出答复的，监理人应以书面形式催告承包人，经监理人三次书面催告后，承包人仍未按期限答复的，则视为对发包人索赔要求的认可；</w:t>
      </w:r>
    </w:p>
    <w:p w14:paraId="79FAEBFD">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）承包人接受索赔处理结果的，发包人可从应支付给承包人的合同价款中扣除赔付的金额或延长缺陷责任期；发包人不接受索赔处理结果的，按第</w:t>
      </w:r>
      <w:r>
        <w:rPr>
          <w:rFonts w:ascii="宋体" w:hAnsi="宋体" w:cs="宋体"/>
          <w:color w:val="auto"/>
          <w:kern w:val="0"/>
          <w:szCs w:val="21"/>
          <w:highlight w:val="none"/>
        </w:rPr>
        <w:t>20</w:t>
      </w:r>
      <w:r>
        <w:rPr>
          <w:rFonts w:hint="eastAsia" w:ascii="宋体" w:hAnsi="宋体" w:cs="宋体"/>
          <w:color w:val="auto"/>
          <w:kern w:val="0"/>
          <w:szCs w:val="21"/>
          <w:highlight w:val="none"/>
        </w:rPr>
        <w:t>条</w:t>
      </w:r>
      <w:r>
        <w:rPr>
          <w:rFonts w:ascii="宋体" w:hAnsi="宋体" w:cs="宋体"/>
          <w:color w:val="auto"/>
          <w:kern w:val="0"/>
          <w:szCs w:val="21"/>
          <w:highlight w:val="none"/>
        </w:rPr>
        <w:t>[</w:t>
      </w:r>
      <w:r>
        <w:rPr>
          <w:rFonts w:hint="eastAsia" w:ascii="宋体" w:hAnsi="宋体" w:cs="宋体"/>
          <w:color w:val="auto"/>
          <w:kern w:val="0"/>
          <w:szCs w:val="21"/>
          <w:highlight w:val="none"/>
        </w:rPr>
        <w:t>争议解决</w:t>
      </w:r>
      <w:r>
        <w:rPr>
          <w:rFonts w:ascii="宋体" w:hAnsi="宋体" w:cs="宋体"/>
          <w:color w:val="auto"/>
          <w:kern w:val="0"/>
          <w:szCs w:val="21"/>
          <w:highlight w:val="none"/>
        </w:rPr>
        <w:t>]</w:t>
      </w:r>
      <w:r>
        <w:rPr>
          <w:rFonts w:hint="eastAsia" w:ascii="宋体" w:hAnsi="宋体" w:cs="宋体"/>
          <w:color w:val="auto"/>
          <w:kern w:val="0"/>
          <w:szCs w:val="21"/>
          <w:highlight w:val="none"/>
        </w:rPr>
        <w:t>约定处理。</w:t>
      </w:r>
    </w:p>
    <w:p w14:paraId="5182655B">
      <w:pPr>
        <w:widowControl/>
        <w:adjustRightInd w:val="0"/>
        <w:snapToGrid w:val="0"/>
        <w:spacing w:after="163" w:afterLines="50" w:line="480" w:lineRule="exact"/>
        <w:ind w:firstLine="420" w:firstLineChars="200"/>
        <w:rPr>
          <w:rFonts w:ascii="宋体" w:hAnsi="宋体" w:cs="宋体"/>
          <w:color w:val="auto"/>
          <w:kern w:val="0"/>
          <w:highlight w:val="none"/>
        </w:rPr>
      </w:pPr>
      <w:bookmarkStart w:id="2716" w:name="_Toc532375679"/>
      <w:bookmarkEnd w:id="2716"/>
      <w:bookmarkStart w:id="2717" w:name="_Toc532377418"/>
      <w:r>
        <w:rPr>
          <w:rFonts w:ascii="宋体" w:hAnsi="宋体" w:cs="宋体"/>
          <w:color w:val="auto"/>
          <w:kern w:val="0"/>
          <w:szCs w:val="21"/>
          <w:highlight w:val="none"/>
        </w:rPr>
        <w:t>19.4</w:t>
      </w:r>
      <w:r>
        <w:rPr>
          <w:rFonts w:hint="eastAsia" w:ascii="宋体" w:hAnsi="宋体" w:cs="宋体"/>
          <w:color w:val="auto"/>
          <w:kern w:val="0"/>
          <w:szCs w:val="21"/>
          <w:highlight w:val="none"/>
        </w:rPr>
        <w:t>提出索赔的期限</w:t>
      </w:r>
      <w:bookmarkEnd w:id="2717"/>
    </w:p>
    <w:p w14:paraId="1118832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任一索赔事件发生后</w:t>
      </w:r>
      <w:r>
        <w:rPr>
          <w:rFonts w:ascii="宋体" w:hAnsi="宋体" w:cs="宋体"/>
          <w:color w:val="auto"/>
          <w:kern w:val="0"/>
          <w:szCs w:val="21"/>
          <w:highlight w:val="none"/>
        </w:rPr>
        <w:t>28</w:t>
      </w:r>
      <w:r>
        <w:rPr>
          <w:rFonts w:hint="eastAsia" w:ascii="宋体" w:hAnsi="宋体" w:cs="宋体"/>
          <w:color w:val="auto"/>
          <w:kern w:val="0"/>
          <w:szCs w:val="21"/>
          <w:highlight w:val="none"/>
        </w:rPr>
        <w:t>天内，承包人</w:t>
      </w:r>
      <w:r>
        <w:rPr>
          <w:rFonts w:ascii="宋体" w:hAnsi="宋体" w:cs="宋体"/>
          <w:color w:val="auto"/>
          <w:kern w:val="0"/>
          <w:szCs w:val="21"/>
          <w:highlight w:val="none"/>
        </w:rPr>
        <w:t>/</w:t>
      </w:r>
      <w:r>
        <w:rPr>
          <w:rFonts w:hint="eastAsia" w:ascii="宋体" w:hAnsi="宋体" w:cs="宋体"/>
          <w:color w:val="auto"/>
          <w:kern w:val="0"/>
          <w:szCs w:val="21"/>
          <w:highlight w:val="none"/>
        </w:rPr>
        <w:t>发包人未向对方发出索赔意向通知书的，视为其已放弃索赔权，无权再就该索赔事项提出任何索赔。</w:t>
      </w:r>
    </w:p>
    <w:p w14:paraId="0F2CAF2D">
      <w:pPr>
        <w:widowControl/>
        <w:adjustRightInd w:val="0"/>
        <w:snapToGrid w:val="0"/>
        <w:spacing w:after="163" w:afterLines="50" w:line="480" w:lineRule="exact"/>
        <w:outlineLvl w:val="1"/>
        <w:rPr>
          <w:rFonts w:ascii="宋体" w:hAnsi="宋体" w:cs="Times"/>
          <w:color w:val="auto"/>
          <w:kern w:val="0"/>
          <w:highlight w:val="none"/>
        </w:rPr>
      </w:pPr>
      <w:bookmarkStart w:id="2718" w:name="_Toc20171892"/>
      <w:bookmarkEnd w:id="2718"/>
      <w:bookmarkStart w:id="2719" w:name="_Toc84930880"/>
      <w:bookmarkStart w:id="2720" w:name="_Toc170932611"/>
      <w:bookmarkStart w:id="2721" w:name="_Toc7922"/>
      <w:r>
        <w:rPr>
          <w:rFonts w:hint="eastAsia" w:ascii="宋体" w:hAnsi="宋体" w:cs="Times"/>
          <w:color w:val="auto"/>
          <w:kern w:val="0"/>
          <w:szCs w:val="21"/>
          <w:highlight w:val="none"/>
        </w:rPr>
        <w:t>第</w:t>
      </w:r>
      <w:r>
        <w:rPr>
          <w:rFonts w:ascii="宋体" w:hAnsi="宋体" w:cs="Times"/>
          <w:color w:val="auto"/>
          <w:kern w:val="0"/>
          <w:szCs w:val="21"/>
          <w:highlight w:val="none"/>
        </w:rPr>
        <w:t>20</w:t>
      </w:r>
      <w:r>
        <w:rPr>
          <w:rFonts w:hint="eastAsia" w:ascii="宋体" w:hAnsi="宋体" w:cs="Times"/>
          <w:color w:val="auto"/>
          <w:kern w:val="0"/>
          <w:szCs w:val="21"/>
          <w:highlight w:val="none"/>
        </w:rPr>
        <w:t>条争议解决</w:t>
      </w:r>
      <w:bookmarkEnd w:id="2719"/>
      <w:bookmarkEnd w:id="2720"/>
      <w:bookmarkEnd w:id="2721"/>
    </w:p>
    <w:p w14:paraId="32E6598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20.3 </w:t>
      </w:r>
      <w:r>
        <w:rPr>
          <w:rFonts w:hint="eastAsia" w:ascii="宋体" w:hAnsi="宋体" w:cs="宋体"/>
          <w:color w:val="auto"/>
          <w:kern w:val="0"/>
          <w:szCs w:val="21"/>
          <w:highlight w:val="none"/>
        </w:rPr>
        <w:t>争议评审</w:t>
      </w:r>
    </w:p>
    <w:p w14:paraId="2534C101">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合同当事人是否同意将工程争议提交争议评审小组决定：</w:t>
      </w:r>
      <w:r>
        <w:rPr>
          <w:rFonts w:hint="eastAsia" w:ascii="宋体" w:hAnsi="宋体" w:cs="宋体"/>
          <w:color w:val="auto"/>
          <w:kern w:val="0"/>
          <w:szCs w:val="21"/>
          <w:highlight w:val="none"/>
          <w:u w:val="single"/>
        </w:rPr>
        <w:t xml:space="preserve">    否  </w:t>
      </w:r>
      <w:r>
        <w:rPr>
          <w:rFonts w:hint="eastAsia" w:ascii="宋体" w:hAnsi="宋体" w:cs="宋体"/>
          <w:color w:val="auto"/>
          <w:kern w:val="0"/>
          <w:szCs w:val="21"/>
          <w:highlight w:val="none"/>
        </w:rPr>
        <w:t>。</w:t>
      </w:r>
    </w:p>
    <w:p w14:paraId="0F1FEF4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 xml:space="preserve">20.4 </w:t>
      </w:r>
      <w:r>
        <w:rPr>
          <w:rFonts w:hint="eastAsia" w:ascii="宋体" w:hAnsi="宋体" w:cs="宋体"/>
          <w:color w:val="auto"/>
          <w:kern w:val="0"/>
          <w:szCs w:val="21"/>
          <w:highlight w:val="none"/>
        </w:rPr>
        <w:t>仲裁或诉讼</w:t>
      </w:r>
    </w:p>
    <w:p w14:paraId="4CF3FEAB">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因合同及合同有关事项发生的争议，按下列第</w:t>
      </w:r>
      <w:r>
        <w:rPr>
          <w:rFonts w:hint="eastAsia" w:ascii="宋体" w:hAnsi="宋体" w:cs="宋体"/>
          <w:color w:val="auto"/>
          <w:kern w:val="0"/>
          <w:szCs w:val="21"/>
          <w:highlight w:val="none"/>
          <w:u w:val="single"/>
        </w:rPr>
        <w:t xml:space="preserve"> （2）  </w:t>
      </w:r>
      <w:r>
        <w:rPr>
          <w:rFonts w:hint="eastAsia" w:ascii="宋体" w:hAnsi="宋体" w:cs="宋体"/>
          <w:color w:val="auto"/>
          <w:kern w:val="0"/>
          <w:szCs w:val="21"/>
          <w:highlight w:val="none"/>
        </w:rPr>
        <w:t>种方式解决：</w:t>
      </w:r>
    </w:p>
    <w:p w14:paraId="4C48D723">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）向仲裁委员会申请仲裁；</w:t>
      </w:r>
    </w:p>
    <w:p w14:paraId="7EE8571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）向九龙坡区人民法院起诉。</w:t>
      </w:r>
    </w:p>
    <w:p w14:paraId="4D0D8C73">
      <w:pPr>
        <w:widowControl/>
        <w:adjustRightInd w:val="0"/>
        <w:snapToGrid w:val="0"/>
        <w:spacing w:after="163" w:afterLines="50" w:line="480" w:lineRule="exact"/>
        <w:ind w:firstLine="315" w:firstLineChars="150"/>
        <w:outlineLvl w:val="1"/>
        <w:rPr>
          <w:rFonts w:ascii="宋体" w:hAnsi="宋体" w:cs="Times"/>
          <w:color w:val="auto"/>
          <w:kern w:val="0"/>
          <w:highlight w:val="none"/>
        </w:rPr>
      </w:pPr>
      <w:bookmarkStart w:id="2722" w:name="_Toc170932612"/>
      <w:bookmarkStart w:id="2723" w:name="_Toc84930881"/>
      <w:bookmarkStart w:id="2724" w:name="_Toc30999"/>
      <w:r>
        <w:rPr>
          <w:rFonts w:hint="eastAsia" w:ascii="宋体" w:hAnsi="宋体" w:cs="Times"/>
          <w:color w:val="auto"/>
          <w:kern w:val="0"/>
          <w:szCs w:val="21"/>
          <w:highlight w:val="none"/>
        </w:rPr>
        <w:t>第</w:t>
      </w:r>
      <w:r>
        <w:rPr>
          <w:rFonts w:ascii="宋体" w:hAnsi="宋体" w:cs="Times"/>
          <w:color w:val="auto"/>
          <w:kern w:val="0"/>
          <w:szCs w:val="21"/>
          <w:highlight w:val="none"/>
        </w:rPr>
        <w:t>21</w:t>
      </w:r>
      <w:r>
        <w:rPr>
          <w:rFonts w:hint="eastAsia" w:ascii="宋体" w:hAnsi="宋体" w:cs="Times"/>
          <w:color w:val="auto"/>
          <w:kern w:val="0"/>
          <w:szCs w:val="21"/>
          <w:highlight w:val="none"/>
        </w:rPr>
        <w:t>条补充条款</w:t>
      </w:r>
      <w:bookmarkEnd w:id="2722"/>
      <w:bookmarkEnd w:id="2723"/>
      <w:bookmarkEnd w:id="2724"/>
    </w:p>
    <w:p w14:paraId="06F10273">
      <w:pPr>
        <w:widowControl/>
        <w:adjustRightInd w:val="0"/>
        <w:snapToGrid w:val="0"/>
        <w:spacing w:after="163" w:afterLines="50" w:line="480" w:lineRule="exact"/>
        <w:ind w:firstLine="420" w:firstLineChars="200"/>
        <w:rPr>
          <w:rFonts w:ascii="宋体" w:hAnsi="宋体" w:cs="宋体"/>
          <w:color w:val="auto"/>
          <w:kern w:val="0"/>
          <w:highlight w:val="none"/>
        </w:rPr>
      </w:pPr>
      <w:bookmarkStart w:id="2725" w:name="_Toc532377423"/>
      <w:bookmarkEnd w:id="2725"/>
      <w:bookmarkStart w:id="2726" w:name="_Toc532375684"/>
      <w:r>
        <w:rPr>
          <w:rFonts w:ascii="宋体" w:hAnsi="宋体" w:cs="宋体"/>
          <w:color w:val="auto"/>
          <w:kern w:val="0"/>
          <w:szCs w:val="21"/>
          <w:highlight w:val="none"/>
        </w:rPr>
        <w:t xml:space="preserve">21.1 </w:t>
      </w:r>
      <w:r>
        <w:rPr>
          <w:rFonts w:hint="eastAsia" w:ascii="宋体" w:hAnsi="宋体" w:cs="宋体"/>
          <w:color w:val="auto"/>
          <w:kern w:val="0"/>
          <w:szCs w:val="21"/>
          <w:highlight w:val="none"/>
        </w:rPr>
        <w:t>退出机制</w:t>
      </w:r>
      <w:bookmarkEnd w:id="2726"/>
    </w:p>
    <w:p w14:paraId="584F66E8">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21.1.1</w:t>
      </w:r>
      <w:r>
        <w:rPr>
          <w:rFonts w:hint="eastAsia" w:ascii="宋体" w:hAnsi="宋体" w:cs="宋体"/>
          <w:color w:val="auto"/>
          <w:kern w:val="0"/>
          <w:szCs w:val="21"/>
          <w:highlight w:val="none"/>
        </w:rPr>
        <w:t>有下列情形之一的，发包人有权解除合同，亦有权兑付履约担保，并对承包人做清退出场处理：</w:t>
      </w:r>
    </w:p>
    <w:p w14:paraId="1275D747">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）因承包人原因造成较大及以上等级生产安全事故或工程质量事故的；</w:t>
      </w:r>
    </w:p>
    <w:p w14:paraId="0B2FAAC5">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）因承包人债权债务纠纷或其他纠纷导致工程无法正常施工的。</w:t>
      </w:r>
    </w:p>
    <w:p w14:paraId="35BD5222">
      <w:pPr>
        <w:widowControl/>
        <w:adjustRightInd w:val="0"/>
        <w:snapToGrid w:val="0"/>
        <w:spacing w:after="163" w:afterLines="50" w:line="480" w:lineRule="exact"/>
        <w:ind w:firstLine="420" w:firstLineChars="200"/>
        <w:rPr>
          <w:rFonts w:ascii="宋体" w:hAnsi="宋体" w:cs="宋体"/>
          <w:color w:val="auto"/>
          <w:kern w:val="0"/>
          <w:highlight w:val="none"/>
        </w:rPr>
      </w:pPr>
      <w:r>
        <w:rPr>
          <w:rFonts w:ascii="宋体" w:hAnsi="宋体" w:cs="宋体"/>
          <w:color w:val="auto"/>
          <w:kern w:val="0"/>
          <w:szCs w:val="21"/>
          <w:highlight w:val="none"/>
        </w:rPr>
        <w:t>21.1.2</w:t>
      </w:r>
      <w:r>
        <w:rPr>
          <w:rFonts w:hint="eastAsia" w:ascii="宋体" w:hAnsi="宋体" w:cs="宋体"/>
          <w:color w:val="auto"/>
          <w:kern w:val="0"/>
          <w:szCs w:val="21"/>
          <w:highlight w:val="none"/>
        </w:rPr>
        <w:t>有下列情形之一的，承包人有权解除合同，并按通用合同条件第</w:t>
      </w:r>
      <w:r>
        <w:rPr>
          <w:rFonts w:ascii="宋体" w:hAnsi="宋体" w:cs="宋体"/>
          <w:color w:val="auto"/>
          <w:kern w:val="0"/>
          <w:szCs w:val="21"/>
          <w:highlight w:val="none"/>
        </w:rPr>
        <w:t>16.2.3</w:t>
      </w:r>
      <w:r>
        <w:rPr>
          <w:rFonts w:hint="eastAsia" w:ascii="宋体" w:hAnsi="宋体" w:cs="宋体"/>
          <w:color w:val="auto"/>
          <w:kern w:val="0"/>
          <w:szCs w:val="21"/>
          <w:highlight w:val="none"/>
        </w:rPr>
        <w:t>项</w:t>
      </w:r>
      <w:r>
        <w:rPr>
          <w:rFonts w:ascii="宋体" w:hAnsi="宋体" w:cs="宋体"/>
          <w:color w:val="auto"/>
          <w:kern w:val="0"/>
          <w:szCs w:val="21"/>
          <w:highlight w:val="none"/>
        </w:rPr>
        <w:t>[</w:t>
      </w:r>
      <w:r>
        <w:rPr>
          <w:rFonts w:hint="eastAsia" w:ascii="宋体" w:hAnsi="宋体" w:cs="宋体"/>
          <w:color w:val="auto"/>
          <w:szCs w:val="21"/>
          <w:highlight w:val="none"/>
        </w:rPr>
        <w:t>因发包人违约解除合同后的付款</w:t>
      </w:r>
      <w:r>
        <w:rPr>
          <w:rFonts w:ascii="宋体" w:hAnsi="宋体" w:cs="宋体"/>
          <w:color w:val="auto"/>
          <w:kern w:val="0"/>
          <w:szCs w:val="21"/>
          <w:highlight w:val="none"/>
        </w:rPr>
        <w:t>]</w:t>
      </w:r>
      <w:r>
        <w:rPr>
          <w:rFonts w:hint="eastAsia" w:ascii="宋体" w:hAnsi="宋体" w:cs="宋体"/>
          <w:color w:val="auto"/>
          <w:kern w:val="0"/>
          <w:szCs w:val="21"/>
          <w:highlight w:val="none"/>
        </w:rPr>
        <w:t>约定执行：</w:t>
      </w:r>
    </w:p>
    <w:p w14:paraId="3C980B4C">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）因发包人征地、拆迁、补偿、审批手续等原因致使本工程延期开工超过</w:t>
      </w:r>
      <w:r>
        <w:rPr>
          <w:rFonts w:ascii="宋体" w:hAnsi="宋体" w:cs="宋体"/>
          <w:color w:val="auto"/>
          <w:kern w:val="0"/>
          <w:szCs w:val="21"/>
          <w:highlight w:val="none"/>
        </w:rPr>
        <w:t>90</w:t>
      </w:r>
      <w:r>
        <w:rPr>
          <w:rFonts w:hint="eastAsia" w:ascii="宋体" w:hAnsi="宋体" w:cs="宋体"/>
          <w:color w:val="auto"/>
          <w:kern w:val="0"/>
          <w:szCs w:val="21"/>
          <w:highlight w:val="none"/>
        </w:rPr>
        <w:t>天的。</w:t>
      </w:r>
    </w:p>
    <w:p w14:paraId="73D14253">
      <w:pPr>
        <w:widowControl/>
        <w:adjustRightInd w:val="0"/>
        <w:snapToGrid w:val="0"/>
        <w:spacing w:after="163" w:afterLines="50" w:line="480" w:lineRule="exact"/>
        <w:ind w:firstLine="420" w:firstLineChars="200"/>
        <w:rPr>
          <w:rFonts w:ascii="宋体" w:hAnsi="宋体" w:cs="宋体"/>
          <w:color w:val="auto"/>
          <w:kern w:val="0"/>
          <w:szCs w:val="21"/>
          <w:highlight w:val="none"/>
        </w:rPr>
      </w:pPr>
      <w:bookmarkStart w:id="2727" w:name="_Toc532375685"/>
      <w:bookmarkEnd w:id="2727"/>
      <w:r>
        <w:rPr>
          <w:rFonts w:hint="eastAsia" w:ascii="宋体" w:hAnsi="宋体" w:cs="宋体"/>
          <w:color w:val="auto"/>
          <w:kern w:val="0"/>
          <w:szCs w:val="21"/>
          <w:highlight w:val="none"/>
        </w:rPr>
        <w:t>21.3低价风险担保</w:t>
      </w:r>
    </w:p>
    <w:p w14:paraId="3D4B592B">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承包人提供低价风险担保的情形：采用经评审的最低投标价法的项目比选申请报价低于最高限价</w:t>
      </w:r>
      <w:r>
        <w:rPr>
          <w:rFonts w:ascii="宋体" w:hAnsi="宋体" w:cs="宋体"/>
          <w:color w:val="auto"/>
          <w:kern w:val="0"/>
          <w:szCs w:val="21"/>
          <w:highlight w:val="none"/>
        </w:rPr>
        <w:t>85%</w:t>
      </w:r>
      <w:r>
        <w:rPr>
          <w:rFonts w:hint="eastAsia" w:ascii="宋体" w:hAnsi="宋体" w:cs="宋体"/>
          <w:color w:val="auto"/>
          <w:kern w:val="0"/>
          <w:szCs w:val="21"/>
          <w:highlight w:val="none"/>
        </w:rPr>
        <w:t>时。</w:t>
      </w:r>
    </w:p>
    <w:p w14:paraId="2F7F1EDA">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承包人提供低价风险担保的方式、金额、提交退还时间及期限：</w:t>
      </w:r>
    </w:p>
    <w:p w14:paraId="49A2C53E">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）低价风险担保的方式：</w:t>
      </w:r>
      <w:r>
        <w:rPr>
          <w:rFonts w:hint="eastAsia" w:ascii="宋体" w:hAnsi="宋体"/>
          <w:color w:val="auto"/>
          <w:kern w:val="0"/>
          <w:szCs w:val="21"/>
          <w:highlight w:val="none"/>
        </w:rPr>
        <w:t>现金或银行保函或现金</w:t>
      </w:r>
      <w:r>
        <w:rPr>
          <w:rFonts w:ascii="宋体" w:hAnsi="宋体"/>
          <w:color w:val="auto"/>
          <w:kern w:val="0"/>
          <w:szCs w:val="21"/>
          <w:highlight w:val="none"/>
        </w:rPr>
        <w:t>+</w:t>
      </w:r>
      <w:r>
        <w:rPr>
          <w:rFonts w:hint="eastAsia" w:ascii="宋体" w:hAnsi="宋体"/>
          <w:color w:val="auto"/>
          <w:kern w:val="0"/>
          <w:szCs w:val="21"/>
          <w:highlight w:val="none"/>
        </w:rPr>
        <w:t>银行保函的组合；采用银行保函形式的，保函必须为不可撤销且见索即付。</w:t>
      </w:r>
    </w:p>
    <w:p w14:paraId="0EC28DD0">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）低价风险担保的金额：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8FFF438">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）低价风险担保的提交时间：从比选人低价风险担保书面通知送达中标候选人之日起工作日内。</w:t>
      </w:r>
    </w:p>
    <w:p w14:paraId="3F4B7555">
      <w:pPr>
        <w:widowControl/>
        <w:adjustRightInd w:val="0"/>
        <w:snapToGrid w:val="0"/>
        <w:spacing w:after="163" w:afterLines="50" w:line="48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）低价风险担保的期限：</w:t>
      </w:r>
      <w:r>
        <w:rPr>
          <w:rFonts w:hint="eastAsia" w:ascii="宋体" w:hAnsi="宋体" w:cs="宋体"/>
          <w:color w:val="auto"/>
          <w:kern w:val="0"/>
          <w:szCs w:val="21"/>
          <w:highlight w:val="none"/>
          <w:u w:val="single"/>
        </w:rPr>
        <w:t>自提交低价风险担保之日起至竣工验收合格之日止</w:t>
      </w:r>
      <w:r>
        <w:rPr>
          <w:rFonts w:hint="eastAsia" w:ascii="宋体" w:hAnsi="宋体" w:cs="宋体"/>
          <w:color w:val="auto"/>
          <w:kern w:val="0"/>
          <w:szCs w:val="21"/>
          <w:highlight w:val="none"/>
        </w:rPr>
        <w:t>。</w:t>
      </w:r>
    </w:p>
    <w:p w14:paraId="4112FFD9">
      <w:pPr>
        <w:widowControl/>
        <w:adjustRightInd w:val="0"/>
        <w:snapToGrid w:val="0"/>
        <w:spacing w:after="163" w:afterLines="50" w:line="48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低价风险担保的退还时间：</w:t>
      </w:r>
      <w:r>
        <w:rPr>
          <w:rFonts w:hint="eastAsia" w:ascii="宋体" w:hAnsi="宋体" w:cs="宋体"/>
          <w:color w:val="auto"/>
          <w:kern w:val="0"/>
          <w:szCs w:val="21"/>
          <w:highlight w:val="none"/>
          <w:u w:val="single"/>
        </w:rPr>
        <w:t>采用现金担保的，工程竣工验收合格后</w:t>
      </w:r>
      <w:r>
        <w:rPr>
          <w:rFonts w:ascii="宋体" w:hAnsi="宋体" w:cs="宋体"/>
          <w:color w:val="auto"/>
          <w:kern w:val="0"/>
          <w:szCs w:val="21"/>
          <w:highlight w:val="none"/>
          <w:u w:val="single"/>
        </w:rPr>
        <w:t>14</w:t>
      </w:r>
      <w:r>
        <w:rPr>
          <w:rFonts w:hint="eastAsia" w:ascii="宋体" w:hAnsi="宋体" w:cs="宋体"/>
          <w:color w:val="auto"/>
          <w:kern w:val="0"/>
          <w:szCs w:val="21"/>
          <w:highlight w:val="none"/>
          <w:u w:val="single"/>
        </w:rPr>
        <w:t>天内无息退还；采用银行保函的，工程竣工验收合格后</w:t>
      </w:r>
      <w:r>
        <w:rPr>
          <w:rFonts w:ascii="宋体" w:hAnsi="宋体" w:cs="宋体"/>
          <w:color w:val="auto"/>
          <w:kern w:val="0"/>
          <w:szCs w:val="21"/>
          <w:highlight w:val="none"/>
          <w:u w:val="single"/>
        </w:rPr>
        <w:t>14</w:t>
      </w:r>
      <w:r>
        <w:rPr>
          <w:rFonts w:hint="eastAsia" w:ascii="宋体" w:hAnsi="宋体" w:cs="宋体"/>
          <w:color w:val="auto"/>
          <w:kern w:val="0"/>
          <w:szCs w:val="21"/>
          <w:highlight w:val="none"/>
          <w:u w:val="single"/>
        </w:rPr>
        <w:t>天内退还</w:t>
      </w:r>
      <w:r>
        <w:rPr>
          <w:rFonts w:hint="eastAsia" w:ascii="宋体" w:hAnsi="宋体" w:cs="宋体"/>
          <w:color w:val="auto"/>
          <w:kern w:val="0"/>
          <w:szCs w:val="21"/>
          <w:highlight w:val="none"/>
        </w:rPr>
        <w:t>。</w:t>
      </w:r>
    </w:p>
    <w:p w14:paraId="352F75C3">
      <w:pPr>
        <w:widowControl/>
        <w:adjustRightInd w:val="0"/>
        <w:snapToGrid w:val="0"/>
        <w:spacing w:after="163" w:afterLines="50" w:line="48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）低价风险担保的扣减：</w:t>
      </w:r>
    </w:p>
    <w:p w14:paraId="4870D351">
      <w:pPr>
        <w:widowControl/>
        <w:adjustRightInd w:val="0"/>
        <w:snapToGrid w:val="0"/>
        <w:spacing w:after="163" w:afterLines="50" w:line="48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ascii="宋体" w:hAnsi="宋体" w:cs="宋体"/>
          <w:color w:val="auto"/>
          <w:kern w:val="0"/>
          <w:szCs w:val="21"/>
          <w:highlight w:val="none"/>
        </w:rPr>
        <w:t>50</w:t>
      </w:r>
      <w:r>
        <w:rPr>
          <w:rFonts w:hint="eastAsia" w:ascii="宋体" w:hAnsi="宋体" w:cs="宋体"/>
          <w:color w:val="auto"/>
          <w:kern w:val="0"/>
          <w:szCs w:val="21"/>
          <w:highlight w:val="none"/>
        </w:rPr>
        <w:t>～</w:t>
      </w:r>
      <w:r>
        <w:rPr>
          <w:rFonts w:ascii="宋体" w:hAnsi="宋体" w:cs="宋体"/>
          <w:color w:val="auto"/>
          <w:kern w:val="0"/>
          <w:szCs w:val="21"/>
          <w:highlight w:val="none"/>
        </w:rPr>
        <w:t>100%</w:t>
      </w:r>
      <w:r>
        <w:rPr>
          <w:rFonts w:hint="eastAsia" w:ascii="宋体" w:hAnsi="宋体" w:cs="宋体"/>
          <w:color w:val="auto"/>
          <w:kern w:val="0"/>
          <w:szCs w:val="21"/>
          <w:highlight w:val="none"/>
        </w:rPr>
        <w:t>扣减，直至解除合同；</w:t>
      </w:r>
    </w:p>
    <w:p w14:paraId="398DFC95">
      <w:pPr>
        <w:widowControl/>
        <w:adjustRightInd w:val="0"/>
        <w:snapToGrid w:val="0"/>
        <w:spacing w:after="163" w:afterLines="50" w:line="48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②承包人在工程施工期间或竣工验收时，工程质量不符合国家现行有关施工质量验收规范要求，且拒绝整改或整改后不合格的，按低价风险担保金额的</w:t>
      </w:r>
      <w:r>
        <w:rPr>
          <w:rFonts w:ascii="宋体" w:hAnsi="宋体" w:cs="宋体"/>
          <w:color w:val="auto"/>
          <w:kern w:val="0"/>
          <w:szCs w:val="21"/>
          <w:highlight w:val="none"/>
        </w:rPr>
        <w:t>50</w:t>
      </w:r>
      <w:r>
        <w:rPr>
          <w:rFonts w:hint="eastAsia" w:ascii="宋体" w:hAnsi="宋体" w:cs="宋体"/>
          <w:color w:val="auto"/>
          <w:kern w:val="0"/>
          <w:szCs w:val="21"/>
          <w:highlight w:val="none"/>
        </w:rPr>
        <w:t>～</w:t>
      </w:r>
      <w:r>
        <w:rPr>
          <w:rFonts w:ascii="宋体" w:hAnsi="宋体" w:cs="宋体"/>
          <w:color w:val="auto"/>
          <w:kern w:val="0"/>
          <w:szCs w:val="21"/>
          <w:highlight w:val="none"/>
        </w:rPr>
        <w:t>100%</w:t>
      </w:r>
      <w:r>
        <w:rPr>
          <w:rFonts w:hint="eastAsia" w:ascii="宋体" w:hAnsi="宋体" w:cs="宋体"/>
          <w:color w:val="auto"/>
          <w:kern w:val="0"/>
          <w:szCs w:val="21"/>
          <w:highlight w:val="none"/>
        </w:rPr>
        <w:t>扣减，直至解除合同；</w:t>
      </w:r>
    </w:p>
    <w:p w14:paraId="10CE156B">
      <w:pPr>
        <w:widowControl/>
        <w:adjustRightInd w:val="0"/>
        <w:snapToGrid w:val="0"/>
        <w:spacing w:after="163" w:afterLines="50" w:line="48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③承包人因第</w:t>
      </w:r>
      <w:r>
        <w:rPr>
          <w:rFonts w:ascii="宋体" w:hAnsi="宋体" w:cs="宋体"/>
          <w:color w:val="auto"/>
          <w:kern w:val="0"/>
          <w:szCs w:val="21"/>
          <w:highlight w:val="none"/>
        </w:rPr>
        <w:t>16.1.1</w:t>
      </w:r>
      <w:r>
        <w:rPr>
          <w:rFonts w:hint="eastAsia" w:ascii="宋体" w:hAnsi="宋体" w:cs="宋体"/>
          <w:color w:val="auto"/>
          <w:kern w:val="0"/>
          <w:szCs w:val="21"/>
          <w:highlight w:val="none"/>
        </w:rPr>
        <w:t>项</w:t>
      </w:r>
      <w:r>
        <w:rPr>
          <w:rFonts w:ascii="宋体" w:hAnsi="宋体" w:cs="宋体"/>
          <w:color w:val="auto"/>
          <w:kern w:val="0"/>
          <w:szCs w:val="21"/>
          <w:highlight w:val="none"/>
        </w:rPr>
        <w:t>[</w:t>
      </w:r>
      <w:r>
        <w:rPr>
          <w:rFonts w:hint="eastAsia" w:ascii="宋体" w:hAnsi="宋体" w:cs="宋体"/>
          <w:color w:val="auto"/>
          <w:kern w:val="0"/>
          <w:szCs w:val="21"/>
          <w:highlight w:val="none"/>
        </w:rPr>
        <w:t>因承包人违约解除合同</w:t>
      </w:r>
      <w:r>
        <w:rPr>
          <w:rFonts w:ascii="宋体" w:hAnsi="宋体" w:cs="宋体"/>
          <w:color w:val="auto"/>
          <w:kern w:val="0"/>
          <w:szCs w:val="21"/>
          <w:highlight w:val="none"/>
        </w:rPr>
        <w:t>]</w:t>
      </w:r>
      <w:r>
        <w:rPr>
          <w:rFonts w:hint="eastAsia" w:ascii="宋体" w:hAnsi="宋体" w:cs="宋体"/>
          <w:color w:val="auto"/>
          <w:kern w:val="0"/>
          <w:szCs w:val="21"/>
          <w:highlight w:val="none"/>
        </w:rPr>
        <w:t>被解除合同的，低价风险担保将全额扣除；</w:t>
      </w:r>
    </w:p>
    <w:p w14:paraId="124F429F">
      <w:pPr>
        <w:widowControl/>
        <w:adjustRightInd w:val="0"/>
        <w:snapToGrid w:val="0"/>
        <w:spacing w:after="163" w:afterLines="50" w:line="48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④因承包人过错导致的其他情形：</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41BCF1D">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21.</w:t>
      </w:r>
      <w:r>
        <w:rPr>
          <w:rFonts w:hint="eastAsia" w:ascii="宋体" w:hAnsi="宋体" w:cs="宋体"/>
          <w:color w:val="auto"/>
          <w:kern w:val="0"/>
          <w:szCs w:val="21"/>
          <w:highlight w:val="none"/>
        </w:rPr>
        <w:t>4</w:t>
      </w:r>
      <w:r>
        <w:rPr>
          <w:rFonts w:ascii="宋体" w:hAnsi="宋体" w:cs="宋体"/>
          <w:color w:val="auto"/>
          <w:kern w:val="0"/>
          <w:szCs w:val="21"/>
          <w:highlight w:val="none"/>
        </w:rPr>
        <w:t>补充条款</w:t>
      </w:r>
    </w:p>
    <w:p w14:paraId="3C24101B">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（1）为保证结算工作的顺利进行，承包人应如实报送结算资料，上报送审金额，凡报送结算经中介机构审核后，审减额超过 5%的，超出的基本审计费和审减效益费用均由承包人承担，费用在最终结算审定金额中直接扣除。</w:t>
      </w:r>
    </w:p>
    <w:p w14:paraId="2D050D70">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（2）发包人将进一步核查比选申请人在比选申请文件中的提供的资料若在合同实施期间发现比选申请人提供了虚假资料，经审核确认后从工程支付款中扣除不超过签约合同价的 10%的金额作为违约金。 </w:t>
      </w:r>
    </w:p>
    <w:p w14:paraId="012FA53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3）比选申请人递交的比选申请文件中出现本比选文件中约定的比选申请报价、结算原则以及其他相关内容的废标条款的情况，如评标时未发现，在中标后发包人按最不利于承包人的原则进行修正，承包人必须无条件接受修正结果，如不接受，发包人将相关证据提交区监督部门，经审核确认后取消投标或立即终止合同， 同时发包人将没收承包人的投标保证金或履约保证金，并对已完合格工程支付工程款，并要求退场。 </w:t>
      </w:r>
    </w:p>
    <w:p w14:paraId="6A08387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（4）未经发包人同意，承包人在比选申请文件中填报的项目经理和技术负责人不得随意更换，若特殊情况下需更换必须通过发包人同意，否则每一次缴纳 </w:t>
      </w:r>
      <w:r>
        <w:rPr>
          <w:rFonts w:ascii="宋体" w:hAnsi="宋体" w:cs="宋体"/>
          <w:color w:val="auto"/>
          <w:kern w:val="0"/>
          <w:szCs w:val="21"/>
          <w:highlight w:val="none"/>
        </w:rPr>
        <w:t>5</w:t>
      </w:r>
      <w:r>
        <w:rPr>
          <w:rFonts w:hint="eastAsia" w:ascii="宋体" w:hAnsi="宋体" w:cs="宋体"/>
          <w:color w:val="auto"/>
          <w:kern w:val="0"/>
          <w:szCs w:val="21"/>
          <w:highlight w:val="none"/>
        </w:rPr>
        <w:t xml:space="preserve"> 万元诚信违约金，累计三次以上，发包人将扣除承包人合同总金额 5%的违约金,并有权单方面解除本施工合同，没收本项目的履约保证金，勒令承包人退场， 并由承包人承担违约责任。 </w:t>
      </w:r>
    </w:p>
    <w:p w14:paraId="0CE992F0">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（5）凡施工企业在九龙坡区承接的项目违背了施工合同条款和附件中的条款 3 次（含 3 次）的，并受过 3 次（含 3 次）处罚的，将会被九龙坡区作为不诚信单位，并上报相关行政监督部门列入不良行为。 </w:t>
      </w:r>
    </w:p>
    <w:p w14:paraId="5EB90F6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以下内容产生的措施费、风险费由承包人自行考虑计入比选申请报价内： </w:t>
      </w:r>
    </w:p>
    <w:p w14:paraId="10E9488D">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①对所有管线进行保护及配合管线维护、迁建等产生的配合费用； </w:t>
      </w:r>
    </w:p>
    <w:p w14:paraId="237F79C3">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②地下障碍物的清除及地面构筑物的配合保护费用； </w:t>
      </w:r>
    </w:p>
    <w:p w14:paraId="4F92B60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③施工配合费； </w:t>
      </w:r>
    </w:p>
    <w:p w14:paraId="3AED322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④承包人为完成承包内容按照国家现行有关建筑工程规范、规程要求，为保证工程的质量和安全必须采取的特殊措施以及配套完成的工作内容所需的费用； </w:t>
      </w:r>
    </w:p>
    <w:p w14:paraId="4C9ABDC3">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⑤由于施工措施或防护措施不当而造成的关联工程问题的处理； </w:t>
      </w:r>
    </w:p>
    <w:p w14:paraId="734A0DEF">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⑥本比选文件承包方式风险； </w:t>
      </w:r>
    </w:p>
    <w:p w14:paraId="03A6F5A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⑦合同工期范围内的赶工措施费用。 </w:t>
      </w:r>
    </w:p>
    <w:p w14:paraId="137F2DF3">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若发包人农民阻工等原因造成三个月以内（含三个月）的工期延误，由承包人投标时自行考虑，发包人不再承担上述原因造成的任何费用；连续超过三个月以上的，由双方另行协商，协商后双方认可的费用，由责任方承担。 </w:t>
      </w:r>
    </w:p>
    <w:p w14:paraId="0BF6522A">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6）承包人在投标前已先到工地踏勘并充分了解工地位置、地质情况、进出场道路、储存空间、装卸限制、行车干扰及任何其它足以影响承包价格的情况，任何因忽视或误解工地情况而导致的索赔或工期延长申请将不获批准。 </w:t>
      </w:r>
    </w:p>
    <w:p w14:paraId="1289C9D4">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（7）凡承包人在施工过程中运输易撒漏物质车辆必须保持密闭运输装置完好和车容整洁，不得沿途飞扬、撒漏和带泥上路。必须设置车辆冲洗设施，以防车辆带泥出场，保持周边环境清洁。 </w:t>
      </w:r>
    </w:p>
    <w:p w14:paraId="4F12C7C9">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（8）若发包人的进度款因故不能按时支付，承包人不能将其作为停止施工的理由，而必须保证在合同工期内完工。 </w:t>
      </w:r>
    </w:p>
    <w:p w14:paraId="421AC83D">
      <w:pPr>
        <w:pStyle w:val="2"/>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（9）其他要求，按照附件执行。</w:t>
      </w:r>
    </w:p>
    <w:p w14:paraId="49D6C521">
      <w:pPr>
        <w:widowControl/>
        <w:adjustRightInd w:val="0"/>
        <w:snapToGrid w:val="0"/>
        <w:spacing w:after="163" w:afterLines="50"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通知与送达。一方在履行本合同过程中所发出的函件，可直接送达，也可邮寄；邮寄应以EMS特快专递按协议书尾部列明的通信地址寄发，交邮后第五日视为已送达。当一方通信地址发生变动，应当提前书面通知其他各方，否则原通信地址仍有效，按原地址寄发的文件视为成功送达。</w:t>
      </w:r>
    </w:p>
    <w:p w14:paraId="6B9E4785">
      <w:pPr>
        <w:rPr>
          <w:color w:val="auto"/>
          <w:highlight w:val="none"/>
        </w:rPr>
        <w:sectPr>
          <w:pgSz w:w="11906" w:h="16838"/>
          <w:pgMar w:top="1304" w:right="1135" w:bottom="1304" w:left="1304" w:header="720" w:footer="720" w:gutter="0"/>
          <w:cols w:space="720" w:num="1"/>
          <w:docGrid w:type="lines" w:linePitch="326" w:charSpace="0"/>
        </w:sectPr>
      </w:pPr>
    </w:p>
    <w:p w14:paraId="4FB1875B">
      <w:pPr>
        <w:widowControl/>
        <w:adjustRightInd w:val="0"/>
        <w:snapToGrid w:val="0"/>
        <w:spacing w:after="50" w:line="360" w:lineRule="auto"/>
        <w:jc w:val="center"/>
        <w:outlineLvl w:val="0"/>
        <w:rPr>
          <w:rFonts w:ascii="宋体" w:hAnsi="宋体" w:cs="宋体"/>
          <w:b/>
          <w:color w:val="auto"/>
          <w:kern w:val="44"/>
          <w:highlight w:val="none"/>
        </w:rPr>
      </w:pPr>
      <w:bookmarkStart w:id="2728" w:name="_Toc20171893"/>
      <w:bookmarkEnd w:id="2728"/>
      <w:bookmarkStart w:id="2729" w:name="_Toc9600"/>
      <w:bookmarkStart w:id="2730" w:name="_Toc170932613"/>
      <w:r>
        <w:rPr>
          <w:rFonts w:hint="eastAsia" w:ascii="宋体" w:hAnsi="宋体" w:cs="宋体"/>
          <w:b/>
          <w:color w:val="auto"/>
          <w:kern w:val="44"/>
          <w:szCs w:val="21"/>
          <w:highlight w:val="none"/>
          <w:lang w:bidi="ar"/>
        </w:rPr>
        <w:t>专用合同条件附件</w:t>
      </w:r>
      <w:bookmarkEnd w:id="2729"/>
      <w:bookmarkEnd w:id="2730"/>
    </w:p>
    <w:p w14:paraId="61F265ED">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p>
    <w:p w14:paraId="658188F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以下附件是专用合同条件的有效组成部分：</w:t>
      </w:r>
    </w:p>
    <w:p w14:paraId="29C9184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附件1：发包人要求</w:t>
      </w:r>
    </w:p>
    <w:p w14:paraId="5261D6F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附件2：发包人供应材料设备一览表</w:t>
      </w:r>
    </w:p>
    <w:p w14:paraId="48CFCE2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附件3：工程质量保修书</w:t>
      </w:r>
    </w:p>
    <w:p w14:paraId="753F3C7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附件4：主要建设工程文件目录</w:t>
      </w:r>
    </w:p>
    <w:p w14:paraId="1C622A8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附件5：承包人主要管理人员表</w:t>
      </w:r>
    </w:p>
    <w:p w14:paraId="50B56BA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附件6：廉洁从业协议</w:t>
      </w:r>
    </w:p>
    <w:p w14:paraId="79EC796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附件7：安全管理协议</w:t>
      </w:r>
    </w:p>
    <w:p w14:paraId="225FFE23">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附件8：保障建筑工人工资支付协议</w:t>
      </w:r>
    </w:p>
    <w:p w14:paraId="214E5650">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附件9：低价风险担保保函示范文本（独立保函）（如有） </w:t>
      </w:r>
    </w:p>
    <w:p w14:paraId="534978D4">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附件10：履约担保（如有）</w:t>
      </w:r>
    </w:p>
    <w:p w14:paraId="436DCB9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附件11：质量保证金保函（如有）</w:t>
      </w:r>
    </w:p>
    <w:p w14:paraId="06B2FCE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09980FF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64F8E40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32062DA4">
      <w:pPr>
        <w:widowControl/>
        <w:jc w:val="left"/>
        <w:rPr>
          <w:rFonts w:ascii="宋体" w:hAnsi="宋体" w:cs="宋体"/>
          <w:color w:val="auto"/>
          <w:kern w:val="0"/>
          <w:highlight w:val="none"/>
        </w:rPr>
      </w:pPr>
      <w:r>
        <w:rPr>
          <w:rFonts w:hint="eastAsia" w:ascii="宋体" w:hAnsi="宋体"/>
          <w:color w:val="auto"/>
          <w:szCs w:val="21"/>
          <w:highlight w:val="none"/>
          <w:lang w:bidi="ar"/>
        </w:rPr>
        <w:br w:type="page"/>
      </w:r>
    </w:p>
    <w:p w14:paraId="7AE98A29">
      <w:pPr>
        <w:keepNext/>
        <w:keepLines/>
        <w:widowControl/>
        <w:wordWrap w:val="0"/>
        <w:topLinePunct/>
        <w:adjustRightInd w:val="0"/>
        <w:snapToGrid w:val="0"/>
        <w:spacing w:after="163" w:afterLines="50" w:line="360" w:lineRule="auto"/>
        <w:jc w:val="center"/>
        <w:outlineLvl w:val="1"/>
        <w:rPr>
          <w:rFonts w:ascii="宋体" w:hAnsi="宋体" w:cs="宋体"/>
          <w:b/>
          <w:color w:val="auto"/>
          <w:kern w:val="0"/>
          <w:highlight w:val="none"/>
        </w:rPr>
      </w:pPr>
      <w:bookmarkStart w:id="2731" w:name="_Hlk38571789"/>
      <w:bookmarkEnd w:id="2731"/>
      <w:bookmarkStart w:id="2732" w:name="_Toc3049"/>
      <w:bookmarkStart w:id="2733" w:name="_Toc170932614"/>
      <w:r>
        <w:rPr>
          <w:rFonts w:hint="eastAsia" w:ascii="宋体" w:hAnsi="宋体" w:cs="宋体"/>
          <w:b/>
          <w:color w:val="auto"/>
          <w:kern w:val="0"/>
          <w:szCs w:val="21"/>
          <w:highlight w:val="none"/>
          <w:lang w:bidi="ar"/>
        </w:rPr>
        <w:t>附件1  《发包人要求》</w:t>
      </w:r>
      <w:bookmarkEnd w:id="2732"/>
      <w:bookmarkEnd w:id="2733"/>
    </w:p>
    <w:p w14:paraId="16C30C8F">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2CEF3A0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《发包人要求》通常包括但不限于以下内容：</w:t>
      </w:r>
    </w:p>
    <w:p w14:paraId="53F3A54B">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一、功能要求</w:t>
      </w:r>
    </w:p>
    <w:p w14:paraId="6436A9D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（一）工程目的。</w:t>
      </w:r>
    </w:p>
    <w:p w14:paraId="68AC07BD">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（二）工程规模。</w:t>
      </w:r>
    </w:p>
    <w:p w14:paraId="4E34D8F2">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（三）性能保证指标（性能保证表）。</w:t>
      </w:r>
    </w:p>
    <w:p w14:paraId="2697FA84">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（四）产能保证指标。</w:t>
      </w:r>
    </w:p>
    <w:p w14:paraId="3741DEA5">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二、工程范围</w:t>
      </w:r>
    </w:p>
    <w:p w14:paraId="2D0253C3">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（一）概述</w:t>
      </w:r>
    </w:p>
    <w:p w14:paraId="1903E701">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（二）包括的工作</w:t>
      </w:r>
    </w:p>
    <w:p w14:paraId="0ED20DE8">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 永久工程的设计、采购、施工范围。</w:t>
      </w:r>
    </w:p>
    <w:p w14:paraId="4BB4215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 临时工程的设计与施工范围。</w:t>
      </w:r>
    </w:p>
    <w:p w14:paraId="18F3BF22">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 竣工验收工作范围。</w:t>
      </w:r>
    </w:p>
    <w:p w14:paraId="70E196BB">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 技术服务工作范围。</w:t>
      </w:r>
    </w:p>
    <w:p w14:paraId="39FEC145">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 培训工作范围。</w:t>
      </w:r>
    </w:p>
    <w:p w14:paraId="2A04D14C">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6. 保修工作范围。</w:t>
      </w:r>
    </w:p>
    <w:p w14:paraId="547F5EB5">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（三）工作界区</w:t>
      </w:r>
    </w:p>
    <w:p w14:paraId="539F1C3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（四）发包人提供的现场条件</w:t>
      </w:r>
    </w:p>
    <w:p w14:paraId="383E7D42">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 施工用电。</w:t>
      </w:r>
    </w:p>
    <w:p w14:paraId="08AC2424">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 施工用水。</w:t>
      </w:r>
    </w:p>
    <w:p w14:paraId="717FD7C2">
      <w:pPr>
        <w:widowControl/>
        <w:wordWrap w:val="0"/>
        <w:topLinePunct/>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 施工排水。</w:t>
      </w:r>
    </w:p>
    <w:p w14:paraId="5E0DB871">
      <w:pPr>
        <w:widowControl/>
        <w:wordWrap w:val="0"/>
        <w:topLinePunct/>
        <w:adjustRightInd w:val="0"/>
        <w:snapToGrid w:val="0"/>
        <w:spacing w:after="163" w:afterLines="50" w:line="360" w:lineRule="auto"/>
        <w:ind w:firstLine="420" w:firstLineChars="200"/>
        <w:rPr>
          <w:color w:val="auto"/>
          <w:highlight w:val="none"/>
          <w:lang w:bidi="ar"/>
        </w:rPr>
      </w:pPr>
      <w:r>
        <w:rPr>
          <w:color w:val="auto"/>
          <w:highlight w:val="none"/>
          <w:lang w:bidi="ar"/>
        </w:rPr>
        <w:t>4</w:t>
      </w:r>
      <w:r>
        <w:rPr>
          <w:rFonts w:hint="eastAsia" w:ascii="宋体" w:hAnsi="宋体" w:cs="宋体"/>
          <w:color w:val="auto"/>
          <w:kern w:val="0"/>
          <w:szCs w:val="21"/>
          <w:highlight w:val="none"/>
          <w:lang w:bidi="ar"/>
        </w:rPr>
        <w:t>.</w:t>
      </w:r>
      <w:r>
        <w:rPr>
          <w:rFonts w:hint="eastAsia"/>
          <w:color w:val="auto"/>
          <w:highlight w:val="none"/>
          <w:lang w:bidi="ar"/>
        </w:rPr>
        <w:t xml:space="preserve"> 施工道路。</w:t>
      </w:r>
    </w:p>
    <w:p w14:paraId="5780AA90">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（五）发包人提供的技术文件</w:t>
      </w:r>
    </w:p>
    <w:p w14:paraId="36BF5F5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除另有批准外，承包人的工作需要遵照发包人的下列技术文件:</w:t>
      </w:r>
    </w:p>
    <w:p w14:paraId="31223D44">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 发包人需求任务书。</w:t>
      </w:r>
    </w:p>
    <w:p w14:paraId="5A12C1C2">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 发包人已完成的设计文件。</w:t>
      </w:r>
    </w:p>
    <w:p w14:paraId="08883C77">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三、工艺安排或要求（如有）</w:t>
      </w:r>
    </w:p>
    <w:p w14:paraId="330A0ABC">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四、时间要求</w:t>
      </w:r>
    </w:p>
    <w:p w14:paraId="3DEA6A32">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（一）开始工作时间。</w:t>
      </w:r>
    </w:p>
    <w:p w14:paraId="6550EFF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（二）设计完成时间。</w:t>
      </w:r>
    </w:p>
    <w:p w14:paraId="511CCC4E">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（三）进度计划。</w:t>
      </w:r>
    </w:p>
    <w:p w14:paraId="50A798E5">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（四）竣工时间。</w:t>
      </w:r>
    </w:p>
    <w:p w14:paraId="59D0CA2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（五）缺陷责任期。</w:t>
      </w:r>
    </w:p>
    <w:p w14:paraId="288FDF75">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（六）其他时间要求。</w:t>
      </w:r>
    </w:p>
    <w:p w14:paraId="4F47FF4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五、技术要求</w:t>
      </w:r>
    </w:p>
    <w:p w14:paraId="78384200">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（一）设计阶段和设计任务。</w:t>
      </w:r>
    </w:p>
    <w:p w14:paraId="327A86A3">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（二）设计标准和规范。</w:t>
      </w:r>
    </w:p>
    <w:p w14:paraId="29721635">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（三）技术标准和要求。</w:t>
      </w:r>
    </w:p>
    <w:p w14:paraId="2FDF4FBB">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（四）质量标准。</w:t>
      </w:r>
    </w:p>
    <w:p w14:paraId="108C49E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（五）设计、施工和设备监造、试验（如有）。</w:t>
      </w:r>
    </w:p>
    <w:p w14:paraId="173774B1">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（六）样品。</w:t>
      </w:r>
    </w:p>
    <w:p w14:paraId="0828881F">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（七）发包人提供的其他条件，如发包人或其委托的第三人提供的设计、工艺包、用于试验检验的工器具等，以及据此对承包人提出的予以配套的要求。</w:t>
      </w:r>
    </w:p>
    <w:p w14:paraId="5558689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六、竣工试验</w:t>
      </w:r>
    </w:p>
    <w:p w14:paraId="177DDD8B">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（一）第一阶段，如对单车试验等的要求，包括试验前准备。</w:t>
      </w:r>
    </w:p>
    <w:p w14:paraId="1D4A66AB">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（二）第二阶段，如对联动试车、投料试车等的要求，包括人员、设备、材料、燃料、电力、消耗品、工具等必要条件。</w:t>
      </w:r>
    </w:p>
    <w:p w14:paraId="47C16EA4">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（三）第三阶段，如对性能测试及其他竣工试验的要求，包括产能指标、产品质量标准、运营指标、环保指标等。</w:t>
      </w:r>
    </w:p>
    <w:p w14:paraId="0692E2A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七、竣工验收</w:t>
      </w:r>
    </w:p>
    <w:p w14:paraId="29EFE0FC">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八、竣工后试验（如有）</w:t>
      </w:r>
    </w:p>
    <w:p w14:paraId="0D3E6FE3">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九、文件要求</w:t>
      </w:r>
    </w:p>
    <w:p w14:paraId="39D3F32E">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（一）设计文件，及其相关审批、核准、备案要求。</w:t>
      </w:r>
    </w:p>
    <w:p w14:paraId="3E80BE6E">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（二）沟通计划。</w:t>
      </w:r>
    </w:p>
    <w:p w14:paraId="14C5D20C">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（三）风险管理计划。</w:t>
      </w:r>
    </w:p>
    <w:p w14:paraId="7CA10CD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（四）竣工文件和工程的其他记录。</w:t>
      </w:r>
    </w:p>
    <w:p w14:paraId="219EEE7C">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（五）操作和维修手册。</w:t>
      </w:r>
    </w:p>
    <w:p w14:paraId="2BC7F06E">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（六）其他承包人文件。</w:t>
      </w:r>
    </w:p>
    <w:p w14:paraId="662015D2">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十、工程项目管理规定</w:t>
      </w:r>
    </w:p>
    <w:p w14:paraId="2B4FB121">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（一）质量。</w:t>
      </w:r>
    </w:p>
    <w:p w14:paraId="3C5BF12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（二）进度，包括里程碑进度计划（如果有）。</w:t>
      </w:r>
    </w:p>
    <w:p w14:paraId="4E5CB17C">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（三）支付。</w:t>
      </w:r>
    </w:p>
    <w:p w14:paraId="3706160D">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（四）HSE（健康、安全与环境管理体系）。</w:t>
      </w:r>
    </w:p>
    <w:p w14:paraId="47A2318A">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（五）沟通。</w:t>
      </w:r>
    </w:p>
    <w:p w14:paraId="38EE911D">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（六）变更。</w:t>
      </w:r>
    </w:p>
    <w:p w14:paraId="65DC5969">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十一、其他要求</w:t>
      </w:r>
    </w:p>
    <w:p w14:paraId="4C19E695">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（一）对承包人的主要人员资格要求。</w:t>
      </w:r>
    </w:p>
    <w:p w14:paraId="1ACA44D7">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（二）相关审批、核准和备案手续的办理。</w:t>
      </w:r>
    </w:p>
    <w:p w14:paraId="6A769D96">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（三）对项目业主人员的操作培训。</w:t>
      </w:r>
    </w:p>
    <w:p w14:paraId="531638D2">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（四）分包。</w:t>
      </w:r>
    </w:p>
    <w:p w14:paraId="5C9C3623">
      <w:pPr>
        <w:widowControl/>
        <w:wordWrap w:val="0"/>
        <w:topLinePunct/>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（五）设备供应商。</w:t>
      </w:r>
    </w:p>
    <w:p w14:paraId="7D65BB27">
      <w:pPr>
        <w:widowControl/>
        <w:wordWrap w:val="0"/>
        <w:topLinePunct/>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（六）缺陷责任期的服务要求。</w:t>
      </w:r>
    </w:p>
    <w:p w14:paraId="3C6408F9">
      <w:pPr>
        <w:pStyle w:val="2"/>
        <w:rPr>
          <w:color w:val="auto"/>
          <w:highlight w:val="none"/>
          <w:lang w:bidi="ar"/>
        </w:rPr>
      </w:pPr>
    </w:p>
    <w:p w14:paraId="53F491CE">
      <w:pPr>
        <w:keepNext/>
        <w:keepLines/>
        <w:widowControl/>
        <w:wordWrap w:val="0"/>
        <w:topLinePunct/>
        <w:adjustRightInd w:val="0"/>
        <w:snapToGrid w:val="0"/>
        <w:spacing w:after="163" w:afterLines="50" w:line="360" w:lineRule="auto"/>
        <w:jc w:val="center"/>
        <w:outlineLvl w:val="1"/>
        <w:rPr>
          <w:rFonts w:ascii="宋体" w:hAnsi="宋体" w:cs="宋体"/>
          <w:b/>
          <w:color w:val="auto"/>
          <w:kern w:val="0"/>
          <w:highlight w:val="none"/>
        </w:rPr>
      </w:pPr>
      <w:bookmarkStart w:id="2734" w:name="_Toc170932615"/>
      <w:bookmarkStart w:id="2735" w:name="_Toc305"/>
      <w:r>
        <w:rPr>
          <w:rFonts w:hint="eastAsia" w:ascii="宋体" w:hAnsi="宋体" w:cs="宋体"/>
          <w:b/>
          <w:color w:val="auto"/>
          <w:kern w:val="0"/>
          <w:szCs w:val="21"/>
          <w:highlight w:val="none"/>
          <w:lang w:bidi="ar"/>
        </w:rPr>
        <w:t>附件2  发包人供应材料设备一览表</w:t>
      </w:r>
      <w:bookmarkEnd w:id="2734"/>
      <w:bookmarkEnd w:id="2735"/>
    </w:p>
    <w:tbl>
      <w:tblPr>
        <w:tblStyle w:val="46"/>
        <w:tblW w:w="92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5"/>
        <w:gridCol w:w="1135"/>
        <w:gridCol w:w="1135"/>
        <w:gridCol w:w="709"/>
      </w:tblGrid>
      <w:tr w14:paraId="582FF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left w:val="single" w:color="auto" w:sz="12" w:space="0"/>
              <w:bottom w:val="double" w:color="auto" w:sz="2" w:space="0"/>
              <w:right w:val="single" w:color="auto" w:sz="6" w:space="0"/>
            </w:tcBorders>
            <w:shd w:val="clear" w:color="auto" w:fill="auto"/>
            <w:vAlign w:val="center"/>
          </w:tcPr>
          <w:p w14:paraId="7113B166">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序号</w:t>
            </w:r>
          </w:p>
        </w:tc>
        <w:tc>
          <w:tcPr>
            <w:tcW w:w="1165" w:type="dxa"/>
            <w:tcBorders>
              <w:top w:val="single" w:color="auto" w:sz="12" w:space="0"/>
              <w:left w:val="single" w:color="auto" w:sz="6" w:space="0"/>
              <w:bottom w:val="double" w:color="auto" w:sz="2" w:space="0"/>
              <w:right w:val="single" w:color="auto" w:sz="6" w:space="0"/>
            </w:tcBorders>
            <w:shd w:val="clear" w:color="auto" w:fill="auto"/>
            <w:vAlign w:val="center"/>
          </w:tcPr>
          <w:p w14:paraId="46B6C0FE">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材料、设备品种</w:t>
            </w:r>
          </w:p>
        </w:tc>
        <w:tc>
          <w:tcPr>
            <w:tcW w:w="1126" w:type="dxa"/>
            <w:tcBorders>
              <w:top w:val="single" w:color="auto" w:sz="12" w:space="0"/>
              <w:left w:val="single" w:color="auto" w:sz="6" w:space="0"/>
              <w:bottom w:val="double" w:color="auto" w:sz="2" w:space="0"/>
              <w:right w:val="single" w:color="auto" w:sz="6" w:space="0"/>
            </w:tcBorders>
            <w:shd w:val="clear" w:color="auto" w:fill="auto"/>
            <w:vAlign w:val="center"/>
          </w:tcPr>
          <w:p w14:paraId="66EB48D2">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规格型号</w:t>
            </w:r>
          </w:p>
        </w:tc>
        <w:tc>
          <w:tcPr>
            <w:tcW w:w="567" w:type="dxa"/>
            <w:tcBorders>
              <w:top w:val="single" w:color="auto" w:sz="12" w:space="0"/>
              <w:left w:val="single" w:color="auto" w:sz="6" w:space="0"/>
              <w:bottom w:val="double" w:color="auto" w:sz="2" w:space="0"/>
              <w:right w:val="single" w:color="auto" w:sz="6" w:space="0"/>
            </w:tcBorders>
            <w:shd w:val="clear" w:color="auto" w:fill="auto"/>
            <w:vAlign w:val="center"/>
          </w:tcPr>
          <w:p w14:paraId="39597834">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单位</w:t>
            </w:r>
          </w:p>
        </w:tc>
        <w:tc>
          <w:tcPr>
            <w:tcW w:w="686" w:type="dxa"/>
            <w:tcBorders>
              <w:top w:val="single" w:color="auto" w:sz="12" w:space="0"/>
              <w:left w:val="single" w:color="auto" w:sz="6" w:space="0"/>
              <w:bottom w:val="double" w:color="auto" w:sz="2" w:space="0"/>
              <w:right w:val="single" w:color="auto" w:sz="6" w:space="0"/>
            </w:tcBorders>
            <w:shd w:val="clear" w:color="auto" w:fill="auto"/>
            <w:vAlign w:val="center"/>
          </w:tcPr>
          <w:p w14:paraId="715A4F53">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数量</w:t>
            </w:r>
          </w:p>
        </w:tc>
        <w:tc>
          <w:tcPr>
            <w:tcW w:w="992" w:type="dxa"/>
            <w:tcBorders>
              <w:top w:val="single" w:color="auto" w:sz="12" w:space="0"/>
              <w:left w:val="single" w:color="auto" w:sz="6" w:space="0"/>
              <w:bottom w:val="double" w:color="auto" w:sz="2" w:space="0"/>
              <w:right w:val="single" w:color="auto" w:sz="6" w:space="0"/>
            </w:tcBorders>
            <w:shd w:val="clear" w:color="auto" w:fill="auto"/>
            <w:vAlign w:val="center"/>
          </w:tcPr>
          <w:p w14:paraId="5F79478B">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单价（元）</w:t>
            </w:r>
          </w:p>
        </w:tc>
        <w:tc>
          <w:tcPr>
            <w:tcW w:w="1135" w:type="dxa"/>
            <w:tcBorders>
              <w:top w:val="single" w:color="auto" w:sz="12" w:space="0"/>
              <w:left w:val="single" w:color="auto" w:sz="6" w:space="0"/>
              <w:bottom w:val="double" w:color="auto" w:sz="2" w:space="0"/>
              <w:right w:val="single" w:color="auto" w:sz="6" w:space="0"/>
            </w:tcBorders>
            <w:shd w:val="clear" w:color="auto" w:fill="auto"/>
            <w:vAlign w:val="center"/>
          </w:tcPr>
          <w:p w14:paraId="49631FDA">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质量等级</w:t>
            </w:r>
          </w:p>
        </w:tc>
        <w:tc>
          <w:tcPr>
            <w:tcW w:w="1135" w:type="dxa"/>
            <w:tcBorders>
              <w:top w:val="single" w:color="auto" w:sz="12" w:space="0"/>
              <w:left w:val="single" w:color="auto" w:sz="6" w:space="0"/>
              <w:bottom w:val="double" w:color="auto" w:sz="2" w:space="0"/>
              <w:right w:val="single" w:color="auto" w:sz="6" w:space="0"/>
            </w:tcBorders>
            <w:shd w:val="clear" w:color="auto" w:fill="auto"/>
            <w:vAlign w:val="center"/>
          </w:tcPr>
          <w:p w14:paraId="665E517D">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供应时间</w:t>
            </w:r>
          </w:p>
        </w:tc>
        <w:tc>
          <w:tcPr>
            <w:tcW w:w="1135" w:type="dxa"/>
            <w:tcBorders>
              <w:top w:val="single" w:color="auto" w:sz="12" w:space="0"/>
              <w:left w:val="single" w:color="auto" w:sz="6" w:space="0"/>
              <w:bottom w:val="double" w:color="auto" w:sz="2" w:space="0"/>
              <w:right w:val="single" w:color="auto" w:sz="6" w:space="0"/>
            </w:tcBorders>
            <w:shd w:val="clear" w:color="auto" w:fill="auto"/>
            <w:vAlign w:val="center"/>
          </w:tcPr>
          <w:p w14:paraId="5D8BB621">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送达地点</w:t>
            </w:r>
          </w:p>
        </w:tc>
        <w:tc>
          <w:tcPr>
            <w:tcW w:w="709" w:type="dxa"/>
            <w:tcBorders>
              <w:top w:val="single" w:color="auto" w:sz="12" w:space="0"/>
              <w:left w:val="single" w:color="auto" w:sz="6" w:space="0"/>
              <w:bottom w:val="double" w:color="auto" w:sz="2" w:space="0"/>
              <w:right w:val="single" w:color="auto" w:sz="12" w:space="0"/>
            </w:tcBorders>
            <w:shd w:val="clear" w:color="auto" w:fill="auto"/>
            <w:vAlign w:val="center"/>
          </w:tcPr>
          <w:p w14:paraId="102ECA8E">
            <w:pPr>
              <w:widowControl/>
              <w:adjustRightInd w:val="0"/>
              <w:snapToGrid w:val="0"/>
              <w:jc w:val="center"/>
              <w:rPr>
                <w:rFonts w:ascii="宋体" w:hAnsi="宋体" w:cs="宋体"/>
                <w:color w:val="auto"/>
                <w:kern w:val="0"/>
                <w:highlight w:val="none"/>
              </w:rPr>
            </w:pPr>
            <w:r>
              <w:rPr>
                <w:rFonts w:hint="eastAsia" w:ascii="宋体" w:hAnsi="宋体" w:cs="宋体"/>
                <w:color w:val="auto"/>
                <w:kern w:val="0"/>
                <w:szCs w:val="21"/>
                <w:highlight w:val="none"/>
                <w:lang w:bidi="ar"/>
              </w:rPr>
              <w:t>备注</w:t>
            </w:r>
          </w:p>
        </w:tc>
      </w:tr>
      <w:tr w14:paraId="7146D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2" w:space="0"/>
              <w:left w:val="single" w:color="auto" w:sz="12" w:space="0"/>
              <w:bottom w:val="single" w:color="auto" w:sz="6" w:space="0"/>
              <w:right w:val="single" w:color="auto" w:sz="6" w:space="0"/>
            </w:tcBorders>
            <w:shd w:val="clear" w:color="auto" w:fill="auto"/>
            <w:vAlign w:val="center"/>
          </w:tcPr>
          <w:p w14:paraId="13C5B70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double" w:color="auto" w:sz="2" w:space="0"/>
              <w:left w:val="single" w:color="auto" w:sz="6" w:space="0"/>
              <w:bottom w:val="single" w:color="auto" w:sz="6" w:space="0"/>
              <w:right w:val="single" w:color="auto" w:sz="6" w:space="0"/>
            </w:tcBorders>
            <w:shd w:val="clear" w:color="auto" w:fill="auto"/>
            <w:vAlign w:val="center"/>
          </w:tcPr>
          <w:p w14:paraId="3C8904C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double" w:color="auto" w:sz="2" w:space="0"/>
              <w:left w:val="single" w:color="auto" w:sz="6" w:space="0"/>
              <w:bottom w:val="single" w:color="auto" w:sz="6" w:space="0"/>
              <w:right w:val="single" w:color="auto" w:sz="6" w:space="0"/>
            </w:tcBorders>
            <w:shd w:val="clear" w:color="auto" w:fill="auto"/>
            <w:vAlign w:val="center"/>
          </w:tcPr>
          <w:p w14:paraId="1F42E1A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double" w:color="auto" w:sz="2" w:space="0"/>
              <w:left w:val="single" w:color="auto" w:sz="6" w:space="0"/>
              <w:bottom w:val="single" w:color="auto" w:sz="6" w:space="0"/>
              <w:right w:val="single" w:color="auto" w:sz="6" w:space="0"/>
            </w:tcBorders>
            <w:shd w:val="clear" w:color="auto" w:fill="auto"/>
            <w:vAlign w:val="center"/>
          </w:tcPr>
          <w:p w14:paraId="4D66164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double" w:color="auto" w:sz="2" w:space="0"/>
              <w:left w:val="single" w:color="auto" w:sz="6" w:space="0"/>
              <w:bottom w:val="single" w:color="auto" w:sz="6" w:space="0"/>
              <w:right w:val="single" w:color="auto" w:sz="6" w:space="0"/>
            </w:tcBorders>
            <w:shd w:val="clear" w:color="auto" w:fill="auto"/>
            <w:vAlign w:val="center"/>
          </w:tcPr>
          <w:p w14:paraId="2CD1AAC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double" w:color="auto" w:sz="2" w:space="0"/>
              <w:left w:val="single" w:color="auto" w:sz="6" w:space="0"/>
              <w:bottom w:val="single" w:color="auto" w:sz="6" w:space="0"/>
              <w:right w:val="single" w:color="auto" w:sz="6" w:space="0"/>
            </w:tcBorders>
            <w:shd w:val="clear" w:color="auto" w:fill="auto"/>
          </w:tcPr>
          <w:p w14:paraId="41DE72B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double" w:color="auto" w:sz="2" w:space="0"/>
              <w:left w:val="single" w:color="auto" w:sz="6" w:space="0"/>
              <w:bottom w:val="single" w:color="auto" w:sz="6" w:space="0"/>
              <w:right w:val="single" w:color="auto" w:sz="6" w:space="0"/>
            </w:tcBorders>
            <w:shd w:val="clear" w:color="auto" w:fill="auto"/>
            <w:vAlign w:val="center"/>
          </w:tcPr>
          <w:p w14:paraId="6CB4687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double" w:color="auto" w:sz="2" w:space="0"/>
              <w:left w:val="single" w:color="auto" w:sz="6" w:space="0"/>
              <w:bottom w:val="single" w:color="auto" w:sz="6" w:space="0"/>
              <w:right w:val="single" w:color="auto" w:sz="6" w:space="0"/>
            </w:tcBorders>
            <w:shd w:val="clear" w:color="auto" w:fill="auto"/>
            <w:vAlign w:val="center"/>
          </w:tcPr>
          <w:p w14:paraId="10F6F32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double" w:color="auto" w:sz="2" w:space="0"/>
              <w:left w:val="single" w:color="auto" w:sz="6" w:space="0"/>
              <w:bottom w:val="single" w:color="auto" w:sz="6" w:space="0"/>
              <w:right w:val="single" w:color="auto" w:sz="6" w:space="0"/>
            </w:tcBorders>
            <w:shd w:val="clear" w:color="auto" w:fill="auto"/>
            <w:vAlign w:val="center"/>
          </w:tcPr>
          <w:p w14:paraId="6EC4B0B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double" w:color="auto" w:sz="2" w:space="0"/>
              <w:left w:val="single" w:color="auto" w:sz="6" w:space="0"/>
              <w:bottom w:val="single" w:color="auto" w:sz="6" w:space="0"/>
              <w:right w:val="single" w:color="auto" w:sz="12" w:space="0"/>
            </w:tcBorders>
            <w:shd w:val="clear" w:color="auto" w:fill="auto"/>
            <w:vAlign w:val="center"/>
          </w:tcPr>
          <w:p w14:paraId="6BD189AA">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4F5F1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left w:val="single" w:color="auto" w:sz="12" w:space="0"/>
              <w:bottom w:val="single" w:color="auto" w:sz="6" w:space="0"/>
              <w:right w:val="single" w:color="auto" w:sz="6" w:space="0"/>
            </w:tcBorders>
            <w:shd w:val="clear" w:color="auto" w:fill="auto"/>
            <w:vAlign w:val="center"/>
          </w:tcPr>
          <w:p w14:paraId="08EA3CA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nil"/>
              <w:left w:val="single" w:color="auto" w:sz="6" w:space="0"/>
              <w:bottom w:val="single" w:color="auto" w:sz="6" w:space="0"/>
              <w:right w:val="single" w:color="auto" w:sz="6" w:space="0"/>
            </w:tcBorders>
            <w:shd w:val="clear" w:color="auto" w:fill="auto"/>
            <w:vAlign w:val="center"/>
          </w:tcPr>
          <w:p w14:paraId="4A10D48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nil"/>
              <w:left w:val="single" w:color="auto" w:sz="6" w:space="0"/>
              <w:bottom w:val="single" w:color="auto" w:sz="6" w:space="0"/>
              <w:right w:val="single" w:color="auto" w:sz="6" w:space="0"/>
            </w:tcBorders>
            <w:shd w:val="clear" w:color="auto" w:fill="auto"/>
            <w:vAlign w:val="center"/>
          </w:tcPr>
          <w:p w14:paraId="4CFFA66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nil"/>
              <w:left w:val="single" w:color="auto" w:sz="6" w:space="0"/>
              <w:bottom w:val="single" w:color="auto" w:sz="6" w:space="0"/>
              <w:right w:val="single" w:color="auto" w:sz="6" w:space="0"/>
            </w:tcBorders>
            <w:shd w:val="clear" w:color="auto" w:fill="auto"/>
            <w:vAlign w:val="center"/>
          </w:tcPr>
          <w:p w14:paraId="5821C77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nil"/>
              <w:left w:val="single" w:color="auto" w:sz="6" w:space="0"/>
              <w:bottom w:val="single" w:color="auto" w:sz="6" w:space="0"/>
              <w:right w:val="single" w:color="auto" w:sz="6" w:space="0"/>
            </w:tcBorders>
            <w:shd w:val="clear" w:color="auto" w:fill="auto"/>
            <w:vAlign w:val="center"/>
          </w:tcPr>
          <w:p w14:paraId="41E5408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nil"/>
              <w:left w:val="single" w:color="auto" w:sz="6" w:space="0"/>
              <w:bottom w:val="single" w:color="auto" w:sz="6" w:space="0"/>
              <w:right w:val="single" w:color="auto" w:sz="6" w:space="0"/>
            </w:tcBorders>
            <w:shd w:val="clear" w:color="auto" w:fill="auto"/>
          </w:tcPr>
          <w:p w14:paraId="015E7F3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nil"/>
              <w:left w:val="single" w:color="auto" w:sz="6" w:space="0"/>
              <w:bottom w:val="single" w:color="auto" w:sz="6" w:space="0"/>
              <w:right w:val="single" w:color="auto" w:sz="6" w:space="0"/>
            </w:tcBorders>
            <w:shd w:val="clear" w:color="auto" w:fill="auto"/>
            <w:vAlign w:val="center"/>
          </w:tcPr>
          <w:p w14:paraId="484D9FD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nil"/>
              <w:left w:val="single" w:color="auto" w:sz="6" w:space="0"/>
              <w:bottom w:val="single" w:color="auto" w:sz="6" w:space="0"/>
              <w:right w:val="single" w:color="auto" w:sz="6" w:space="0"/>
            </w:tcBorders>
            <w:shd w:val="clear" w:color="auto" w:fill="auto"/>
            <w:vAlign w:val="center"/>
          </w:tcPr>
          <w:p w14:paraId="54A3A02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nil"/>
              <w:left w:val="single" w:color="auto" w:sz="6" w:space="0"/>
              <w:bottom w:val="single" w:color="auto" w:sz="6" w:space="0"/>
              <w:right w:val="single" w:color="auto" w:sz="6" w:space="0"/>
            </w:tcBorders>
            <w:shd w:val="clear" w:color="auto" w:fill="auto"/>
            <w:vAlign w:val="center"/>
          </w:tcPr>
          <w:p w14:paraId="1AE1444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nil"/>
              <w:left w:val="single" w:color="auto" w:sz="6" w:space="0"/>
              <w:bottom w:val="single" w:color="auto" w:sz="6" w:space="0"/>
              <w:right w:val="single" w:color="auto" w:sz="12" w:space="0"/>
            </w:tcBorders>
            <w:shd w:val="clear" w:color="auto" w:fill="auto"/>
            <w:vAlign w:val="center"/>
          </w:tcPr>
          <w:p w14:paraId="76203DFE">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3E602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2F8AB72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4020CAC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41289C8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2B3C899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3586BAF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35B6FFD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30CAEBB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F1DE1A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20606F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0A1B292F">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41D9B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7489409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464C238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379351D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21315BE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4144D6B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2F5B292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ABB7D7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1293C34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C14112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72BE60AD">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54822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6AEE35E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70B201B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7CE06DA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480DBEE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37833B4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3AA9CEB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3E78A9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1E1688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F321CC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2E0E9E28">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5B4CA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6840F28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073971C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6DBA550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54D6613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38E4104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42C4841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C36505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76E4DAA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805373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7C6CD830">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54ED4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4D24870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766A194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4CA78E6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1DF3E0A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3C83ABE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4435D5B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2C6C81F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6140F7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1EB7BC0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79624E88">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1F625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7E01162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2343946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338BB8B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3443B1C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7FABF72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7C4B098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35A3D47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6D5AA09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2C35756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75CD52D7">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23E68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7B6F128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179E9B9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7D1FC0B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68C02C5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74B21A0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1FFF1DF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1AC3540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2EE9A7D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5FD04C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7E955C96">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71803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3F812A0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708CB2D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764D76A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2635511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5B1614E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1F91170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79E6604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1BACF3F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33D6B02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6281F8C6">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13ECC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322CE16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7D4A0BD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69B4B8D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16F4109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0B41C52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23E94C3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4E1FF23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9E5EE8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3141DC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52DF39A3">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4E9DB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5F10C3B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018A496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4372342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5135C86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1DE1EEC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334300D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B6D423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EFBF8F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4A98CEC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2A5FA85A">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6141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732F6E8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6F92990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16375F2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1B68ACC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3EB1EA0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35A13A6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6D0F273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FD6B2F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286150E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3E475EED">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6C353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302FE0C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4176D88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7E5E759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7A7CDC8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7DC0E40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0417BEC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78A6B06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4B2B72D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7C9D926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162AFAF7">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4C8BA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000E2AD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41B21C0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4421B80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21C9FD1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2C538A5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3A80516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3BFC88C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875635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5A7294E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22F819ED">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682A4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790910D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4E6151B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7938EC2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0BF7104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6C4A89F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0E2E454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7B6E40F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43243E2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176488A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55C0BD9A">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590D3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14:paraId="4CE088F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14:paraId="12BBCCC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14:paraId="4A1F363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1F4B3A6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14:paraId="60D4FE0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5273A1D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33013DB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00F0321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14:paraId="1F57FF7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6" w:space="0"/>
              <w:right w:val="single" w:color="auto" w:sz="12" w:space="0"/>
            </w:tcBorders>
            <w:shd w:val="clear" w:color="auto" w:fill="auto"/>
            <w:vAlign w:val="center"/>
          </w:tcPr>
          <w:p w14:paraId="5CB38B9B">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47AC6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12" w:space="0"/>
              <w:right w:val="single" w:color="auto" w:sz="6" w:space="0"/>
            </w:tcBorders>
            <w:shd w:val="clear" w:color="auto" w:fill="auto"/>
            <w:vAlign w:val="center"/>
          </w:tcPr>
          <w:p w14:paraId="79CFE22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65" w:type="dxa"/>
            <w:tcBorders>
              <w:top w:val="single" w:color="auto" w:sz="6" w:space="0"/>
              <w:left w:val="single" w:color="auto" w:sz="6" w:space="0"/>
              <w:bottom w:val="single" w:color="auto" w:sz="12" w:space="0"/>
              <w:right w:val="single" w:color="auto" w:sz="6" w:space="0"/>
            </w:tcBorders>
            <w:shd w:val="clear" w:color="auto" w:fill="auto"/>
            <w:vAlign w:val="center"/>
          </w:tcPr>
          <w:p w14:paraId="6ED50E3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26" w:type="dxa"/>
            <w:tcBorders>
              <w:top w:val="single" w:color="auto" w:sz="6" w:space="0"/>
              <w:left w:val="single" w:color="auto" w:sz="6" w:space="0"/>
              <w:bottom w:val="single" w:color="auto" w:sz="12" w:space="0"/>
              <w:right w:val="single" w:color="auto" w:sz="6" w:space="0"/>
            </w:tcBorders>
            <w:shd w:val="clear" w:color="auto" w:fill="auto"/>
            <w:vAlign w:val="center"/>
          </w:tcPr>
          <w:p w14:paraId="71490BB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567" w:type="dxa"/>
            <w:tcBorders>
              <w:top w:val="single" w:color="auto" w:sz="6" w:space="0"/>
              <w:left w:val="single" w:color="auto" w:sz="6" w:space="0"/>
              <w:bottom w:val="single" w:color="auto" w:sz="12" w:space="0"/>
              <w:right w:val="single" w:color="auto" w:sz="6" w:space="0"/>
            </w:tcBorders>
            <w:shd w:val="clear" w:color="auto" w:fill="auto"/>
            <w:vAlign w:val="center"/>
          </w:tcPr>
          <w:p w14:paraId="7DB23C5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686" w:type="dxa"/>
            <w:tcBorders>
              <w:top w:val="single" w:color="auto" w:sz="6" w:space="0"/>
              <w:left w:val="single" w:color="auto" w:sz="6" w:space="0"/>
              <w:bottom w:val="single" w:color="auto" w:sz="12" w:space="0"/>
              <w:right w:val="single" w:color="auto" w:sz="6" w:space="0"/>
            </w:tcBorders>
            <w:shd w:val="clear" w:color="auto" w:fill="auto"/>
            <w:vAlign w:val="center"/>
          </w:tcPr>
          <w:p w14:paraId="011F9EF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992" w:type="dxa"/>
            <w:tcBorders>
              <w:top w:val="single" w:color="auto" w:sz="6" w:space="0"/>
              <w:left w:val="single" w:color="auto" w:sz="6" w:space="0"/>
              <w:bottom w:val="single" w:color="auto" w:sz="12" w:space="0"/>
              <w:right w:val="single" w:color="auto" w:sz="6" w:space="0"/>
            </w:tcBorders>
            <w:shd w:val="clear" w:color="auto" w:fill="auto"/>
          </w:tcPr>
          <w:p w14:paraId="0961BB2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14:paraId="21DEA06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14:paraId="4DD5E1A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14:paraId="0EC9EE2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709" w:type="dxa"/>
            <w:tcBorders>
              <w:top w:val="single" w:color="auto" w:sz="6" w:space="0"/>
              <w:left w:val="single" w:color="auto" w:sz="6" w:space="0"/>
              <w:bottom w:val="single" w:color="auto" w:sz="12" w:space="0"/>
              <w:right w:val="single" w:color="auto" w:sz="12" w:space="0"/>
            </w:tcBorders>
            <w:shd w:val="clear" w:color="auto" w:fill="auto"/>
            <w:vAlign w:val="center"/>
          </w:tcPr>
          <w:p w14:paraId="1A5E45C1">
            <w:pPr>
              <w:widowControl/>
              <w:adjustRightInd w:val="0"/>
              <w:snapToGrid w:val="0"/>
              <w:spacing w:after="163" w:afterLines="50" w:line="360" w:lineRule="auto"/>
              <w:ind w:firstLine="420" w:firstLineChars="200"/>
              <w:rPr>
                <w:rFonts w:ascii="宋体" w:hAnsi="宋体" w:cs="宋体"/>
                <w:color w:val="auto"/>
                <w:kern w:val="0"/>
                <w:highlight w:val="none"/>
              </w:rPr>
            </w:pPr>
          </w:p>
        </w:tc>
      </w:tr>
    </w:tbl>
    <w:p w14:paraId="02C5BA72">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7D85F8A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olor w:val="auto"/>
          <w:szCs w:val="21"/>
          <w:highlight w:val="none"/>
          <w:lang w:bidi="ar"/>
        </w:rPr>
        <w:br w:type="page"/>
      </w:r>
    </w:p>
    <w:p w14:paraId="68E23B7E">
      <w:pPr>
        <w:keepNext/>
        <w:keepLines/>
        <w:widowControl/>
        <w:wordWrap w:val="0"/>
        <w:topLinePunct/>
        <w:adjustRightInd w:val="0"/>
        <w:snapToGrid w:val="0"/>
        <w:spacing w:after="163" w:afterLines="50" w:line="360" w:lineRule="auto"/>
        <w:jc w:val="center"/>
        <w:outlineLvl w:val="1"/>
        <w:rPr>
          <w:rFonts w:ascii="宋体" w:hAnsi="宋体" w:cs="宋体"/>
          <w:b/>
          <w:color w:val="auto"/>
          <w:kern w:val="0"/>
          <w:highlight w:val="none"/>
        </w:rPr>
      </w:pPr>
      <w:bookmarkStart w:id="2736" w:name="_Toc20171895"/>
      <w:bookmarkEnd w:id="2736"/>
      <w:bookmarkStart w:id="2737" w:name="_Toc170932616"/>
      <w:bookmarkStart w:id="2738" w:name="_Toc9597"/>
      <w:r>
        <w:rPr>
          <w:rFonts w:hint="eastAsia" w:ascii="宋体" w:hAnsi="宋体" w:cs="宋体"/>
          <w:b/>
          <w:color w:val="auto"/>
          <w:kern w:val="0"/>
          <w:szCs w:val="21"/>
          <w:highlight w:val="none"/>
          <w:lang w:bidi="ar"/>
        </w:rPr>
        <w:t>附件3  工程质量保修书</w:t>
      </w:r>
      <w:bookmarkEnd w:id="2737"/>
      <w:bookmarkEnd w:id="2738"/>
    </w:p>
    <w:p w14:paraId="7DB6E607">
      <w:pPr>
        <w:widowControl/>
        <w:adjustRightInd w:val="0"/>
        <w:snapToGrid w:val="0"/>
        <w:spacing w:after="163" w:afterLines="50" w:line="360" w:lineRule="auto"/>
        <w:rPr>
          <w:rFonts w:ascii="宋体" w:hAnsi="宋体" w:cs="宋体"/>
          <w:color w:val="auto"/>
          <w:kern w:val="0"/>
          <w:highlight w:val="none"/>
        </w:rPr>
      </w:pPr>
      <w:r>
        <w:rPr>
          <w:rFonts w:hint="eastAsia" w:ascii="宋体" w:hAnsi="宋体" w:cs="宋体"/>
          <w:color w:val="auto"/>
          <w:kern w:val="0"/>
          <w:szCs w:val="21"/>
          <w:highlight w:val="none"/>
          <w:lang w:bidi="ar"/>
        </w:rPr>
        <w:t>发包人（全称）：</w:t>
      </w:r>
      <w:r>
        <w:rPr>
          <w:rFonts w:hint="eastAsia" w:ascii="宋体" w:hAnsi="宋体" w:cs="宋体"/>
          <w:color w:val="auto"/>
          <w:kern w:val="0"/>
          <w:szCs w:val="21"/>
          <w:highlight w:val="none"/>
          <w:u w:val="single"/>
          <w:lang w:bidi="ar"/>
        </w:rPr>
        <w:t xml:space="preserve">                                  </w:t>
      </w:r>
    </w:p>
    <w:p w14:paraId="532DEB39">
      <w:pPr>
        <w:widowControl/>
        <w:adjustRightInd w:val="0"/>
        <w:snapToGrid w:val="0"/>
        <w:spacing w:after="163" w:afterLines="50" w:line="360" w:lineRule="auto"/>
        <w:rPr>
          <w:rFonts w:ascii="宋体" w:hAnsi="宋体" w:cs="宋体"/>
          <w:color w:val="auto"/>
          <w:kern w:val="0"/>
          <w:highlight w:val="none"/>
        </w:rPr>
      </w:pPr>
      <w:r>
        <w:rPr>
          <w:rFonts w:hint="eastAsia" w:ascii="宋体" w:hAnsi="宋体" w:cs="宋体"/>
          <w:color w:val="auto"/>
          <w:kern w:val="0"/>
          <w:szCs w:val="21"/>
          <w:highlight w:val="none"/>
          <w:lang w:bidi="ar"/>
        </w:rPr>
        <w:t>承包人（全称）：</w:t>
      </w:r>
      <w:r>
        <w:rPr>
          <w:rFonts w:hint="eastAsia" w:ascii="宋体" w:hAnsi="宋体" w:cs="宋体"/>
          <w:color w:val="auto"/>
          <w:kern w:val="0"/>
          <w:szCs w:val="21"/>
          <w:highlight w:val="none"/>
          <w:u w:val="single"/>
          <w:lang w:bidi="ar"/>
        </w:rPr>
        <w:t xml:space="preserve">                                  </w:t>
      </w:r>
    </w:p>
    <w:p w14:paraId="52915D5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发包人和承包人根据《中华人民共和国建筑法》和《建设工程质量管理条例》，经协商一致就</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（工程全称）订立工程质量保修书。</w:t>
      </w:r>
    </w:p>
    <w:p w14:paraId="397B404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一、工程质量保修范围和内容</w:t>
      </w:r>
    </w:p>
    <w:p w14:paraId="386A756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承包人在质量保修期内，按照有关法律规定和合同约定，承担工程质量保修责任。</w:t>
      </w:r>
    </w:p>
    <w:p w14:paraId="6FCCB36B">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5D8C1DC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二、质量保修期</w:t>
      </w:r>
    </w:p>
    <w:p w14:paraId="1255FEA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根据《建设工程质量管理条例》及有关规定，工程的质量保修期如下：</w:t>
      </w:r>
    </w:p>
    <w:p w14:paraId="05E4FC5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1．地基基础工程和主体结构工程为设计文件规定的工程合理使用年限；</w:t>
      </w:r>
    </w:p>
    <w:p w14:paraId="1128526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2．屋面防水工程、有防水要求的卫生间、房间和外墙面的防渗为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p>
    <w:p w14:paraId="139FE6E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3．装修工程为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p>
    <w:p w14:paraId="6F1D732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4．电气管线、给排水管道、设备安装工程为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p>
    <w:p w14:paraId="6EFE20D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5．供热与供冷系统为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个采暖期、供冷期；</w:t>
      </w:r>
    </w:p>
    <w:p w14:paraId="6A5A3198">
      <w:pPr>
        <w:widowControl/>
        <w:adjustRightInd w:val="0"/>
        <w:snapToGrid w:val="0"/>
        <w:spacing w:after="163" w:afterLines="50" w:line="360" w:lineRule="auto"/>
        <w:ind w:left="420" w:leftChars="200"/>
        <w:rPr>
          <w:rFonts w:ascii="宋体" w:hAnsi="宋体" w:cs="宋体"/>
          <w:color w:val="auto"/>
          <w:kern w:val="0"/>
          <w:highlight w:val="none"/>
        </w:rPr>
      </w:pPr>
      <w:r>
        <w:rPr>
          <w:rFonts w:hint="eastAsia" w:ascii="宋体" w:hAnsi="宋体" w:cs="宋体"/>
          <w:color w:val="auto"/>
          <w:kern w:val="0"/>
          <w:szCs w:val="21"/>
          <w:highlight w:val="none"/>
          <w:lang w:bidi="ar"/>
        </w:rPr>
        <w:t>6．住宅小区内的给排水设施、道路等配套工程为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p>
    <w:p w14:paraId="6F66DE7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7．其他项目保修期限约定如下：</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56BD458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质量保修期自工程竣工验收合格之日起计算。</w:t>
      </w:r>
    </w:p>
    <w:p w14:paraId="741FA62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三、缺陷责任期</w:t>
      </w:r>
    </w:p>
    <w:p w14:paraId="4C6720FF">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工程缺陷责任期为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个月，缺陷责任期自工程通过竣工验收之日起计算。单位/区段工程先于全部工程进行验收，单位/区段工程缺陷责任期自单位/区段工程验收合格之日起算。</w:t>
      </w:r>
    </w:p>
    <w:p w14:paraId="2A297A6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缺陷责任期终止后，发包人应返还剩余的质量保证金。</w:t>
      </w:r>
    </w:p>
    <w:p w14:paraId="00708630">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四、质量保修责任</w:t>
      </w:r>
    </w:p>
    <w:p w14:paraId="3D3347A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1．属于保修范围、内容的项目，承包人应当在接到保修通知之日起7天内派人保修。承包人不在约定期限内派人保修的，发包人可以委托他人修理。</w:t>
      </w:r>
    </w:p>
    <w:p w14:paraId="2FF3A4F7">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2．发生紧急事故需抢修的，承包人在接到事故通知后，应当立即到达事故现场抢修。</w:t>
      </w:r>
    </w:p>
    <w:p w14:paraId="6F47553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3．对于涉及结构安全的质量问题，应当按照《建设工程质量管理条例》的规定，立即向当地建设行政主管部门和有关部门报告，采取安全防范措施，并由承包人承包人提出保修方案，承包人将设计业务分包的，应由原设计分包人或具有相应资质等级的设计人提出保修方案，承包人实施保修。</w:t>
      </w:r>
    </w:p>
    <w:p w14:paraId="02131A7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4．质量保修完成后，由发包人组织验收。</w:t>
      </w:r>
    </w:p>
    <w:p w14:paraId="470C284D">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五、保修费用</w:t>
      </w:r>
    </w:p>
    <w:p w14:paraId="753910F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保修费用由造成质量缺陷的责任方承担。</w:t>
      </w:r>
    </w:p>
    <w:p w14:paraId="12903EA7">
      <w:pPr>
        <w:widowControl/>
        <w:adjustRightInd w:val="0"/>
        <w:snapToGrid w:val="0"/>
        <w:spacing w:after="163" w:afterLines="50" w:line="360" w:lineRule="auto"/>
        <w:ind w:firstLine="420" w:firstLineChars="200"/>
        <w:rPr>
          <w:rFonts w:ascii="宋体" w:hAnsi="宋体" w:cs="宋体"/>
          <w:color w:val="auto"/>
          <w:kern w:val="0"/>
          <w:highlight w:val="none"/>
          <w:u w:val="single"/>
        </w:rPr>
      </w:pPr>
      <w:r>
        <w:rPr>
          <w:rFonts w:hint="eastAsia" w:ascii="宋体" w:hAnsi="宋体" w:cs="宋体"/>
          <w:color w:val="auto"/>
          <w:kern w:val="0"/>
          <w:szCs w:val="21"/>
          <w:highlight w:val="none"/>
          <w:lang w:bidi="ar"/>
        </w:rPr>
        <w:t>六、双方约定的其他工程质量保修事项：</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p>
    <w:p w14:paraId="7C832A77">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工程质量保修书由发包人、承包人在工程竣工验收前共同签署，作为工程合同附件，其有效期限至保修期满。</w:t>
      </w:r>
    </w:p>
    <w:p w14:paraId="4B264829">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七、本文件生效</w:t>
      </w:r>
    </w:p>
    <w:p w14:paraId="246B9EFF">
      <w:pPr>
        <w:widowControl/>
        <w:adjustRightInd w:val="0"/>
        <w:snapToGrid w:val="0"/>
        <w:spacing w:after="163" w:afterLines="50"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本工程质量保修书经发包人与承包人盖章后生效。</w:t>
      </w:r>
    </w:p>
    <w:p w14:paraId="5C7F4ADE">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1A5A2821">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发包人(公章)：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承包人(公章)：</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145E1454">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地  址：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地  址：</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6C41838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法定代表人(签名)：</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法定代表人(签名)：</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510FD605">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委托代理人(签名)：</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委托代理人(签名)：</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53F2F3BC">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电  话：</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电  话：</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166AE8B6">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传  真：</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传  真：</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4A71C5A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开户银行：</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开户银行：</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407FC458">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账  号：</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账  号：</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29B0C313">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邮政编码： </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邮政编码：</w:t>
      </w:r>
      <w:r>
        <w:rPr>
          <w:rFonts w:hint="eastAsia" w:ascii="宋体" w:hAnsi="宋体" w:cs="MingLiU_HKSCS"/>
          <w:color w:val="auto"/>
          <w:kern w:val="0"/>
          <w:szCs w:val="21"/>
          <w:highlight w:val="none"/>
          <w:lang w:bidi="ar"/>
        </w:rPr>
        <w:t></w:t>
      </w:r>
      <w:r>
        <w:rPr>
          <w:rFonts w:hint="eastAsia" w:ascii="宋体" w:hAnsi="宋体" w:cs="宋体"/>
          <w:color w:val="auto"/>
          <w:kern w:val="0"/>
          <w:szCs w:val="21"/>
          <w:highlight w:val="none"/>
          <w:lang w:bidi="ar"/>
        </w:rPr>
        <w:t xml:space="preserve">   </w:t>
      </w:r>
    </w:p>
    <w:p w14:paraId="1AF5E356">
      <w:pPr>
        <w:widowControl/>
        <w:jc w:val="left"/>
        <w:rPr>
          <w:rFonts w:ascii="宋体" w:hAnsi="宋体" w:cs="宋体"/>
          <w:color w:val="auto"/>
          <w:kern w:val="0"/>
          <w:highlight w:val="none"/>
        </w:rPr>
      </w:pPr>
      <w:r>
        <w:rPr>
          <w:rFonts w:hint="eastAsia" w:ascii="宋体" w:hAnsi="宋体" w:cs="宋体"/>
          <w:color w:val="auto"/>
          <w:kern w:val="0"/>
          <w:highlight w:val="none"/>
        </w:rPr>
        <w:br w:type="page"/>
      </w:r>
    </w:p>
    <w:p w14:paraId="230CFF38">
      <w:pPr>
        <w:widowControl/>
        <w:jc w:val="left"/>
        <w:rPr>
          <w:rFonts w:ascii="宋体" w:hAnsi="宋体" w:cs="宋体"/>
          <w:color w:val="auto"/>
          <w:kern w:val="0"/>
          <w:highlight w:val="none"/>
        </w:rPr>
      </w:pPr>
    </w:p>
    <w:p w14:paraId="665E329B">
      <w:pPr>
        <w:keepNext/>
        <w:keepLines/>
        <w:widowControl/>
        <w:wordWrap w:val="0"/>
        <w:topLinePunct/>
        <w:adjustRightInd w:val="0"/>
        <w:snapToGrid w:val="0"/>
        <w:spacing w:after="163" w:afterLines="50" w:line="360" w:lineRule="auto"/>
        <w:jc w:val="center"/>
        <w:outlineLvl w:val="1"/>
        <w:rPr>
          <w:rFonts w:ascii="宋体" w:hAnsi="宋体" w:cs="宋体"/>
          <w:b/>
          <w:color w:val="auto"/>
          <w:kern w:val="0"/>
          <w:highlight w:val="none"/>
        </w:rPr>
      </w:pPr>
      <w:bookmarkStart w:id="2739" w:name="_Toc20171896"/>
      <w:bookmarkEnd w:id="2739"/>
      <w:bookmarkStart w:id="2740" w:name="_Toc170932617"/>
      <w:bookmarkStart w:id="2741" w:name="_Toc29467"/>
      <w:r>
        <w:rPr>
          <w:rFonts w:hint="eastAsia" w:ascii="宋体" w:hAnsi="宋体" w:cs="宋体"/>
          <w:b/>
          <w:color w:val="auto"/>
          <w:kern w:val="0"/>
          <w:szCs w:val="21"/>
          <w:highlight w:val="none"/>
          <w:lang w:bidi="ar"/>
        </w:rPr>
        <w:t>附件4  主要建设工程文件目录</w:t>
      </w:r>
      <w:bookmarkEnd w:id="2740"/>
      <w:bookmarkEnd w:id="2741"/>
    </w:p>
    <w:tbl>
      <w:tblPr>
        <w:tblStyle w:val="46"/>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3DE8D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left w:val="single" w:color="auto" w:sz="12" w:space="0"/>
              <w:bottom w:val="double" w:color="auto" w:sz="2" w:space="0"/>
              <w:right w:val="single" w:color="auto" w:sz="6" w:space="0"/>
            </w:tcBorders>
            <w:shd w:val="clear" w:color="auto" w:fill="auto"/>
            <w:vAlign w:val="center"/>
          </w:tcPr>
          <w:p w14:paraId="459755BC">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文件名称</w:t>
            </w:r>
          </w:p>
        </w:tc>
        <w:tc>
          <w:tcPr>
            <w:tcW w:w="1276" w:type="dxa"/>
            <w:tcBorders>
              <w:top w:val="single" w:color="auto" w:sz="12" w:space="0"/>
              <w:left w:val="single" w:color="auto" w:sz="6" w:space="0"/>
              <w:bottom w:val="double" w:color="auto" w:sz="2" w:space="0"/>
              <w:right w:val="single" w:color="auto" w:sz="6" w:space="0"/>
            </w:tcBorders>
            <w:shd w:val="clear" w:color="auto" w:fill="auto"/>
            <w:vAlign w:val="center"/>
          </w:tcPr>
          <w:p w14:paraId="4F40CCF0">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套数</w:t>
            </w:r>
          </w:p>
        </w:tc>
        <w:tc>
          <w:tcPr>
            <w:tcW w:w="1450" w:type="dxa"/>
            <w:tcBorders>
              <w:top w:val="single" w:color="auto" w:sz="12" w:space="0"/>
              <w:left w:val="single" w:color="auto" w:sz="6" w:space="0"/>
              <w:bottom w:val="double" w:color="auto" w:sz="2" w:space="0"/>
              <w:right w:val="single" w:color="auto" w:sz="6" w:space="0"/>
            </w:tcBorders>
            <w:shd w:val="clear" w:color="auto" w:fill="auto"/>
            <w:vAlign w:val="center"/>
          </w:tcPr>
          <w:p w14:paraId="3189E70F">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费用（元）</w:t>
            </w:r>
          </w:p>
        </w:tc>
        <w:tc>
          <w:tcPr>
            <w:tcW w:w="1243" w:type="dxa"/>
            <w:tcBorders>
              <w:top w:val="single" w:color="auto" w:sz="12" w:space="0"/>
              <w:left w:val="single" w:color="auto" w:sz="6" w:space="0"/>
              <w:bottom w:val="double" w:color="auto" w:sz="2" w:space="0"/>
              <w:right w:val="single" w:color="auto" w:sz="6" w:space="0"/>
            </w:tcBorders>
            <w:shd w:val="clear" w:color="auto" w:fill="auto"/>
            <w:vAlign w:val="center"/>
          </w:tcPr>
          <w:p w14:paraId="4865E524">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质量</w:t>
            </w:r>
          </w:p>
        </w:tc>
        <w:tc>
          <w:tcPr>
            <w:tcW w:w="1450" w:type="dxa"/>
            <w:tcBorders>
              <w:top w:val="single" w:color="auto" w:sz="12" w:space="0"/>
              <w:left w:val="single" w:color="auto" w:sz="6" w:space="0"/>
              <w:bottom w:val="double" w:color="auto" w:sz="2" w:space="0"/>
              <w:right w:val="single" w:color="auto" w:sz="6" w:space="0"/>
            </w:tcBorders>
            <w:shd w:val="clear" w:color="auto" w:fill="auto"/>
          </w:tcPr>
          <w:p w14:paraId="4A0A12F0">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移交时间</w:t>
            </w:r>
          </w:p>
        </w:tc>
        <w:tc>
          <w:tcPr>
            <w:tcW w:w="1670" w:type="dxa"/>
            <w:tcBorders>
              <w:top w:val="single" w:color="auto" w:sz="12" w:space="0"/>
              <w:left w:val="single" w:color="auto" w:sz="6" w:space="0"/>
              <w:bottom w:val="double" w:color="auto" w:sz="2" w:space="0"/>
              <w:right w:val="single" w:color="auto" w:sz="12" w:space="0"/>
            </w:tcBorders>
            <w:shd w:val="clear" w:color="auto" w:fill="auto"/>
          </w:tcPr>
          <w:p w14:paraId="41932A44">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责任人</w:t>
            </w:r>
          </w:p>
        </w:tc>
      </w:tr>
      <w:tr w14:paraId="4DA80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2" w:space="0"/>
              <w:left w:val="single" w:color="auto" w:sz="12" w:space="0"/>
              <w:bottom w:val="single" w:color="auto" w:sz="6" w:space="0"/>
              <w:right w:val="single" w:color="auto" w:sz="6" w:space="0"/>
            </w:tcBorders>
            <w:shd w:val="clear" w:color="auto" w:fill="auto"/>
            <w:vAlign w:val="center"/>
          </w:tcPr>
          <w:p w14:paraId="46F1FCC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double" w:color="auto" w:sz="2" w:space="0"/>
              <w:left w:val="single" w:color="auto" w:sz="6" w:space="0"/>
              <w:bottom w:val="single" w:color="auto" w:sz="6" w:space="0"/>
              <w:right w:val="single" w:color="auto" w:sz="6" w:space="0"/>
            </w:tcBorders>
            <w:shd w:val="clear" w:color="auto" w:fill="auto"/>
            <w:vAlign w:val="center"/>
          </w:tcPr>
          <w:p w14:paraId="6088A47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double" w:color="auto" w:sz="2" w:space="0"/>
              <w:left w:val="single" w:color="auto" w:sz="6" w:space="0"/>
              <w:bottom w:val="single" w:color="auto" w:sz="6" w:space="0"/>
              <w:right w:val="single" w:color="auto" w:sz="6" w:space="0"/>
            </w:tcBorders>
            <w:shd w:val="clear" w:color="auto" w:fill="auto"/>
            <w:vAlign w:val="center"/>
          </w:tcPr>
          <w:p w14:paraId="2B6C17B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double" w:color="auto" w:sz="2" w:space="0"/>
              <w:left w:val="single" w:color="auto" w:sz="6" w:space="0"/>
              <w:bottom w:val="single" w:color="auto" w:sz="6" w:space="0"/>
              <w:right w:val="single" w:color="auto" w:sz="6" w:space="0"/>
            </w:tcBorders>
            <w:shd w:val="clear" w:color="auto" w:fill="auto"/>
            <w:vAlign w:val="center"/>
          </w:tcPr>
          <w:p w14:paraId="33A5E38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double" w:color="auto" w:sz="2" w:space="0"/>
              <w:left w:val="single" w:color="auto" w:sz="6" w:space="0"/>
              <w:bottom w:val="single" w:color="auto" w:sz="6" w:space="0"/>
              <w:right w:val="single" w:color="auto" w:sz="6" w:space="0"/>
            </w:tcBorders>
            <w:shd w:val="clear" w:color="auto" w:fill="auto"/>
            <w:vAlign w:val="center"/>
          </w:tcPr>
          <w:p w14:paraId="39CC07B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double" w:color="auto" w:sz="2" w:space="0"/>
              <w:left w:val="single" w:color="auto" w:sz="6" w:space="0"/>
              <w:bottom w:val="single" w:color="auto" w:sz="6" w:space="0"/>
              <w:right w:val="single" w:color="auto" w:sz="12" w:space="0"/>
            </w:tcBorders>
            <w:shd w:val="clear" w:color="auto" w:fill="auto"/>
            <w:vAlign w:val="center"/>
          </w:tcPr>
          <w:p w14:paraId="6C998E58">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2DCD2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left w:val="single" w:color="auto" w:sz="12" w:space="0"/>
              <w:bottom w:val="single" w:color="auto" w:sz="6" w:space="0"/>
              <w:right w:val="single" w:color="auto" w:sz="6" w:space="0"/>
            </w:tcBorders>
            <w:shd w:val="clear" w:color="auto" w:fill="auto"/>
            <w:vAlign w:val="center"/>
          </w:tcPr>
          <w:p w14:paraId="711A033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nil"/>
              <w:left w:val="single" w:color="auto" w:sz="6" w:space="0"/>
              <w:bottom w:val="single" w:color="auto" w:sz="6" w:space="0"/>
              <w:right w:val="single" w:color="auto" w:sz="6" w:space="0"/>
            </w:tcBorders>
            <w:shd w:val="clear" w:color="auto" w:fill="auto"/>
            <w:vAlign w:val="center"/>
          </w:tcPr>
          <w:p w14:paraId="5A6EB63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nil"/>
              <w:left w:val="single" w:color="auto" w:sz="6" w:space="0"/>
              <w:bottom w:val="single" w:color="auto" w:sz="6" w:space="0"/>
              <w:right w:val="single" w:color="auto" w:sz="6" w:space="0"/>
            </w:tcBorders>
            <w:shd w:val="clear" w:color="auto" w:fill="auto"/>
            <w:vAlign w:val="center"/>
          </w:tcPr>
          <w:p w14:paraId="1A8E1FD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nil"/>
              <w:left w:val="single" w:color="auto" w:sz="6" w:space="0"/>
              <w:bottom w:val="single" w:color="auto" w:sz="6" w:space="0"/>
              <w:right w:val="single" w:color="auto" w:sz="6" w:space="0"/>
            </w:tcBorders>
            <w:shd w:val="clear" w:color="auto" w:fill="auto"/>
            <w:vAlign w:val="center"/>
          </w:tcPr>
          <w:p w14:paraId="6DD02F1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nil"/>
              <w:left w:val="single" w:color="auto" w:sz="6" w:space="0"/>
              <w:bottom w:val="single" w:color="auto" w:sz="6" w:space="0"/>
              <w:right w:val="single" w:color="auto" w:sz="6" w:space="0"/>
            </w:tcBorders>
            <w:shd w:val="clear" w:color="auto" w:fill="auto"/>
            <w:vAlign w:val="center"/>
          </w:tcPr>
          <w:p w14:paraId="4CF1F6F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nil"/>
              <w:left w:val="single" w:color="auto" w:sz="6" w:space="0"/>
              <w:bottom w:val="single" w:color="auto" w:sz="6" w:space="0"/>
              <w:right w:val="single" w:color="auto" w:sz="12" w:space="0"/>
            </w:tcBorders>
            <w:shd w:val="clear" w:color="auto" w:fill="auto"/>
            <w:vAlign w:val="center"/>
          </w:tcPr>
          <w:p w14:paraId="01C4E56E">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7BEFB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14:paraId="2C9C18F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2B1BE3C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4D1E788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14:paraId="531F0F5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0616CBB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vAlign w:val="center"/>
          </w:tcPr>
          <w:p w14:paraId="5C0487DB">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71AEC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14:paraId="39D87EC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32C391E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258DC12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14:paraId="1EE12B1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7B669F2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vAlign w:val="center"/>
          </w:tcPr>
          <w:p w14:paraId="582F31D6">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5624D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14:paraId="21C9497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68D284B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367F42F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14:paraId="1BE6737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13DFFE9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vAlign w:val="center"/>
          </w:tcPr>
          <w:p w14:paraId="67C65EC1">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24FE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14:paraId="4BF68A9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61EFF2B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065AA9C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14:paraId="7972398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6B1F526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vAlign w:val="center"/>
          </w:tcPr>
          <w:p w14:paraId="1131E1EF">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34908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14:paraId="4053D75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5FBB6DE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321012F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14:paraId="0C038DE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2021906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vAlign w:val="center"/>
          </w:tcPr>
          <w:p w14:paraId="01722516">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6C2D5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14:paraId="41954C7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7E23447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7883196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14:paraId="2D85E6F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0BC9BF5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vAlign w:val="center"/>
          </w:tcPr>
          <w:p w14:paraId="51C8CE12">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4F5AC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4F987C7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1DAEC8C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34C7AA1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201D4A5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057F56B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551B363A">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2F776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14:paraId="5C69A12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40B3039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0824C39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14:paraId="00BAFD4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14:paraId="55F5A71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vAlign w:val="center"/>
          </w:tcPr>
          <w:p w14:paraId="289F7310">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0F25F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01C8D48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5AB9DAB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501769B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262551D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4B1B26B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48A7A250">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73CEB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4AD41A6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096072D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210D1D06">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33CE181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061AD36C">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5BF62E77">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65013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0A6DC5F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7031A88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599D7B7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6123413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5E6447A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3C81C205">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39AB0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3F5D922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28134BD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11FF080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3A41EEF5">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53EEF60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30982393">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7B71E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61643E0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578D0832">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2768BA1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3BAFEF8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4A754188">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727E8A93">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333D7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4365CCE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3C10DDDF">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374FC52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7E37EFD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690659E1">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71A96198">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11DD9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2A92DD8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133F329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317821D0">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0BD404FA">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1DFE9B6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10CFBD5D">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16521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tcPr>
          <w:p w14:paraId="6354949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tcPr>
          <w:p w14:paraId="2A5B8F83">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3AE1DF8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6" w:space="0"/>
              <w:right w:val="single" w:color="auto" w:sz="6" w:space="0"/>
            </w:tcBorders>
            <w:shd w:val="clear" w:color="auto" w:fill="auto"/>
          </w:tcPr>
          <w:p w14:paraId="19B1395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6" w:space="0"/>
              <w:right w:val="single" w:color="auto" w:sz="6" w:space="0"/>
            </w:tcBorders>
            <w:shd w:val="clear" w:color="auto" w:fill="auto"/>
          </w:tcPr>
          <w:p w14:paraId="2CBD4814">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6" w:space="0"/>
              <w:right w:val="single" w:color="auto" w:sz="12" w:space="0"/>
            </w:tcBorders>
            <w:shd w:val="clear" w:color="auto" w:fill="auto"/>
          </w:tcPr>
          <w:p w14:paraId="63115F27">
            <w:pPr>
              <w:widowControl/>
              <w:adjustRightInd w:val="0"/>
              <w:snapToGrid w:val="0"/>
              <w:spacing w:after="163" w:afterLines="50" w:line="360" w:lineRule="auto"/>
              <w:ind w:firstLine="420" w:firstLineChars="200"/>
              <w:rPr>
                <w:rFonts w:ascii="宋体" w:hAnsi="宋体" w:cs="宋体"/>
                <w:color w:val="auto"/>
                <w:kern w:val="0"/>
                <w:highlight w:val="none"/>
              </w:rPr>
            </w:pPr>
          </w:p>
        </w:tc>
      </w:tr>
      <w:tr w14:paraId="039C6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12" w:space="0"/>
              <w:right w:val="single" w:color="auto" w:sz="6" w:space="0"/>
            </w:tcBorders>
            <w:shd w:val="clear" w:color="auto" w:fill="auto"/>
          </w:tcPr>
          <w:p w14:paraId="7CCB3D9E">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tcPr>
          <w:p w14:paraId="59E90979">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12" w:space="0"/>
              <w:right w:val="single" w:color="auto" w:sz="6" w:space="0"/>
            </w:tcBorders>
            <w:shd w:val="clear" w:color="auto" w:fill="auto"/>
          </w:tcPr>
          <w:p w14:paraId="0B030047">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243" w:type="dxa"/>
            <w:tcBorders>
              <w:top w:val="single" w:color="auto" w:sz="6" w:space="0"/>
              <w:left w:val="single" w:color="auto" w:sz="6" w:space="0"/>
              <w:bottom w:val="single" w:color="auto" w:sz="12" w:space="0"/>
              <w:right w:val="single" w:color="auto" w:sz="6" w:space="0"/>
            </w:tcBorders>
            <w:shd w:val="clear" w:color="auto" w:fill="auto"/>
          </w:tcPr>
          <w:p w14:paraId="75CDA9CD">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450" w:type="dxa"/>
            <w:tcBorders>
              <w:top w:val="single" w:color="auto" w:sz="6" w:space="0"/>
              <w:left w:val="single" w:color="auto" w:sz="6" w:space="0"/>
              <w:bottom w:val="single" w:color="auto" w:sz="12" w:space="0"/>
              <w:right w:val="single" w:color="auto" w:sz="6" w:space="0"/>
            </w:tcBorders>
            <w:shd w:val="clear" w:color="auto" w:fill="auto"/>
          </w:tcPr>
          <w:p w14:paraId="5C879E2B">
            <w:pPr>
              <w:widowControl/>
              <w:adjustRightInd w:val="0"/>
              <w:snapToGrid w:val="0"/>
              <w:spacing w:after="163" w:afterLines="50" w:line="360" w:lineRule="auto"/>
              <w:ind w:firstLine="420" w:firstLineChars="200"/>
              <w:rPr>
                <w:rFonts w:ascii="宋体" w:hAnsi="宋体" w:cs="宋体"/>
                <w:color w:val="auto"/>
                <w:kern w:val="0"/>
                <w:highlight w:val="none"/>
              </w:rPr>
            </w:pPr>
          </w:p>
        </w:tc>
        <w:tc>
          <w:tcPr>
            <w:tcW w:w="1670" w:type="dxa"/>
            <w:tcBorders>
              <w:top w:val="single" w:color="auto" w:sz="6" w:space="0"/>
              <w:left w:val="single" w:color="auto" w:sz="6" w:space="0"/>
              <w:bottom w:val="single" w:color="auto" w:sz="12" w:space="0"/>
              <w:right w:val="single" w:color="auto" w:sz="12" w:space="0"/>
            </w:tcBorders>
            <w:shd w:val="clear" w:color="auto" w:fill="auto"/>
          </w:tcPr>
          <w:p w14:paraId="021429A5">
            <w:pPr>
              <w:widowControl/>
              <w:adjustRightInd w:val="0"/>
              <w:snapToGrid w:val="0"/>
              <w:spacing w:after="163" w:afterLines="50" w:line="360" w:lineRule="auto"/>
              <w:ind w:firstLine="420" w:firstLineChars="200"/>
              <w:rPr>
                <w:rFonts w:ascii="宋体" w:hAnsi="宋体" w:cs="宋体"/>
                <w:color w:val="auto"/>
                <w:kern w:val="0"/>
                <w:highlight w:val="none"/>
              </w:rPr>
            </w:pPr>
          </w:p>
        </w:tc>
      </w:tr>
    </w:tbl>
    <w:p w14:paraId="33347C8A">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6ACA3A69">
      <w:pPr>
        <w:widowControl/>
        <w:adjustRightInd w:val="0"/>
        <w:snapToGrid w:val="0"/>
        <w:spacing w:after="163" w:afterLines="50"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41A68D8E">
      <w:pPr>
        <w:spacing w:line="360" w:lineRule="auto"/>
        <w:rPr>
          <w:rFonts w:ascii="宋体" w:hAnsi="宋体"/>
          <w:b/>
          <w:color w:val="auto"/>
          <w:szCs w:val="21"/>
          <w:highlight w:val="none"/>
          <w:lang w:bidi="ar"/>
        </w:rPr>
        <w:sectPr>
          <w:pgSz w:w="11906" w:h="16838"/>
          <w:pgMar w:top="1304" w:right="1135" w:bottom="1304" w:left="1304" w:header="720" w:footer="720" w:gutter="0"/>
          <w:cols w:space="720" w:num="1"/>
          <w:docGrid w:type="lines" w:linePitch="326" w:charSpace="0"/>
        </w:sectPr>
      </w:pPr>
    </w:p>
    <w:p w14:paraId="12907A68">
      <w:pPr>
        <w:keepNext/>
        <w:keepLines/>
        <w:widowControl/>
        <w:wordWrap w:val="0"/>
        <w:topLinePunct/>
        <w:adjustRightInd w:val="0"/>
        <w:snapToGrid w:val="0"/>
        <w:spacing w:after="156" w:afterLines="50" w:line="360" w:lineRule="auto"/>
        <w:jc w:val="center"/>
        <w:outlineLvl w:val="1"/>
        <w:rPr>
          <w:rFonts w:ascii="宋体" w:hAnsi="宋体" w:cs="宋体"/>
          <w:b/>
          <w:color w:val="auto"/>
          <w:kern w:val="0"/>
          <w:highlight w:val="none"/>
        </w:rPr>
      </w:pPr>
      <w:bookmarkStart w:id="2742" w:name="_Toc20171897"/>
      <w:bookmarkEnd w:id="2742"/>
      <w:bookmarkStart w:id="2743" w:name="_Toc170932618"/>
      <w:bookmarkStart w:id="2744" w:name="_Toc17902"/>
      <w:r>
        <w:rPr>
          <w:rFonts w:hint="eastAsia" w:ascii="宋体" w:hAnsi="宋体" w:cs="宋体"/>
          <w:b/>
          <w:color w:val="auto"/>
          <w:kern w:val="0"/>
          <w:szCs w:val="21"/>
          <w:highlight w:val="none"/>
          <w:lang w:bidi="ar"/>
        </w:rPr>
        <w:t>附件5  承包人主要管理人员表</w:t>
      </w:r>
      <w:bookmarkEnd w:id="2743"/>
      <w:bookmarkEnd w:id="2744"/>
    </w:p>
    <w:tbl>
      <w:tblPr>
        <w:tblStyle w:val="46"/>
        <w:tblW w:w="90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5"/>
        <w:gridCol w:w="1135"/>
        <w:gridCol w:w="3896"/>
      </w:tblGrid>
      <w:tr w14:paraId="60A46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141EE230">
            <w:pPr>
              <w:widowControl/>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名    称</w:t>
            </w:r>
          </w:p>
        </w:tc>
        <w:tc>
          <w:tcPr>
            <w:tcW w:w="1418" w:type="dxa"/>
            <w:shd w:val="clear" w:color="auto" w:fill="auto"/>
            <w:vAlign w:val="center"/>
          </w:tcPr>
          <w:p w14:paraId="5709CA9F">
            <w:pPr>
              <w:widowControl/>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姓名</w:t>
            </w:r>
          </w:p>
        </w:tc>
        <w:tc>
          <w:tcPr>
            <w:tcW w:w="1135" w:type="dxa"/>
            <w:shd w:val="clear" w:color="auto" w:fill="auto"/>
            <w:vAlign w:val="center"/>
          </w:tcPr>
          <w:p w14:paraId="4783DAA4">
            <w:pPr>
              <w:widowControl/>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职务</w:t>
            </w:r>
          </w:p>
        </w:tc>
        <w:tc>
          <w:tcPr>
            <w:tcW w:w="1135" w:type="dxa"/>
            <w:shd w:val="clear" w:color="auto" w:fill="auto"/>
            <w:vAlign w:val="center"/>
          </w:tcPr>
          <w:p w14:paraId="423F0D31">
            <w:pPr>
              <w:widowControl/>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职称</w:t>
            </w:r>
          </w:p>
        </w:tc>
        <w:tc>
          <w:tcPr>
            <w:tcW w:w="3896" w:type="dxa"/>
            <w:shd w:val="clear" w:color="auto" w:fill="auto"/>
            <w:vAlign w:val="center"/>
          </w:tcPr>
          <w:p w14:paraId="4C2482FA">
            <w:pPr>
              <w:widowControl/>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主要资历、经验及承担过的项目</w:t>
            </w:r>
          </w:p>
        </w:tc>
      </w:tr>
      <w:tr w14:paraId="28DAC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9" w:type="dxa"/>
            <w:gridSpan w:val="5"/>
            <w:shd w:val="clear" w:color="auto" w:fill="auto"/>
            <w:vAlign w:val="center"/>
          </w:tcPr>
          <w:p w14:paraId="0652A2EC">
            <w:pPr>
              <w:widowControl/>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一、总部人员</w:t>
            </w:r>
          </w:p>
        </w:tc>
      </w:tr>
      <w:tr w14:paraId="5D80F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2F1C3F91">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项目主管</w:t>
            </w:r>
          </w:p>
        </w:tc>
        <w:tc>
          <w:tcPr>
            <w:tcW w:w="1418" w:type="dxa"/>
            <w:shd w:val="clear" w:color="auto" w:fill="auto"/>
            <w:vAlign w:val="center"/>
          </w:tcPr>
          <w:p w14:paraId="30B784CD">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481BC465">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363EF08B">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74200C1C">
            <w:pPr>
              <w:widowControl/>
              <w:adjustRightInd w:val="0"/>
              <w:snapToGrid w:val="0"/>
              <w:spacing w:line="360" w:lineRule="auto"/>
              <w:ind w:firstLine="420" w:firstLineChars="200"/>
              <w:rPr>
                <w:rFonts w:ascii="宋体" w:hAnsi="宋体" w:cs="宋体"/>
                <w:color w:val="auto"/>
                <w:kern w:val="0"/>
                <w:highlight w:val="none"/>
              </w:rPr>
            </w:pPr>
          </w:p>
        </w:tc>
      </w:tr>
      <w:tr w14:paraId="55396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59F0E2FC">
            <w:pPr>
              <w:widowControl/>
              <w:adjustRightInd w:val="0"/>
              <w:snapToGrid w:val="0"/>
              <w:spacing w:line="360" w:lineRule="auto"/>
              <w:ind w:firstLine="420" w:firstLineChars="200"/>
              <w:rPr>
                <w:rFonts w:ascii="宋体" w:hAnsi="宋体" w:cs="宋体"/>
                <w:color w:val="auto"/>
                <w:kern w:val="0"/>
                <w:highlight w:val="none"/>
              </w:rPr>
            </w:pPr>
          </w:p>
        </w:tc>
        <w:tc>
          <w:tcPr>
            <w:tcW w:w="1418" w:type="dxa"/>
            <w:shd w:val="clear" w:color="auto" w:fill="auto"/>
            <w:vAlign w:val="center"/>
          </w:tcPr>
          <w:p w14:paraId="6796F8A2">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10D81E09">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5E61C4B7">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5B9B6B5E">
            <w:pPr>
              <w:widowControl/>
              <w:adjustRightInd w:val="0"/>
              <w:snapToGrid w:val="0"/>
              <w:spacing w:line="360" w:lineRule="auto"/>
              <w:ind w:firstLine="420" w:firstLineChars="200"/>
              <w:rPr>
                <w:rFonts w:ascii="宋体" w:hAnsi="宋体" w:cs="宋体"/>
                <w:color w:val="auto"/>
                <w:kern w:val="0"/>
                <w:highlight w:val="none"/>
              </w:rPr>
            </w:pPr>
          </w:p>
        </w:tc>
      </w:tr>
      <w:tr w14:paraId="024F3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17389406">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其他人员</w:t>
            </w:r>
          </w:p>
        </w:tc>
        <w:tc>
          <w:tcPr>
            <w:tcW w:w="1418" w:type="dxa"/>
            <w:shd w:val="clear" w:color="auto" w:fill="auto"/>
            <w:vAlign w:val="center"/>
          </w:tcPr>
          <w:p w14:paraId="0CCA1C33">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7B765EAA">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5AFAA260">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31573455">
            <w:pPr>
              <w:widowControl/>
              <w:adjustRightInd w:val="0"/>
              <w:snapToGrid w:val="0"/>
              <w:spacing w:line="360" w:lineRule="auto"/>
              <w:ind w:firstLine="420" w:firstLineChars="200"/>
              <w:rPr>
                <w:rFonts w:ascii="宋体" w:hAnsi="宋体" w:cs="宋体"/>
                <w:color w:val="auto"/>
                <w:kern w:val="0"/>
                <w:highlight w:val="none"/>
              </w:rPr>
            </w:pPr>
          </w:p>
        </w:tc>
      </w:tr>
      <w:tr w14:paraId="18AD9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62A2B7ED">
            <w:pPr>
              <w:widowControl/>
              <w:adjustRightInd w:val="0"/>
              <w:snapToGrid w:val="0"/>
              <w:spacing w:line="360" w:lineRule="auto"/>
              <w:ind w:firstLine="420" w:firstLineChars="200"/>
              <w:rPr>
                <w:rFonts w:ascii="宋体" w:hAnsi="宋体" w:cs="宋体"/>
                <w:color w:val="auto"/>
                <w:kern w:val="0"/>
                <w:highlight w:val="none"/>
              </w:rPr>
            </w:pPr>
          </w:p>
        </w:tc>
        <w:tc>
          <w:tcPr>
            <w:tcW w:w="1418" w:type="dxa"/>
            <w:shd w:val="clear" w:color="auto" w:fill="auto"/>
            <w:vAlign w:val="center"/>
          </w:tcPr>
          <w:p w14:paraId="10C31631">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7A35F113">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0ED0B8A5">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73F379F2">
            <w:pPr>
              <w:widowControl/>
              <w:adjustRightInd w:val="0"/>
              <w:snapToGrid w:val="0"/>
              <w:spacing w:line="360" w:lineRule="auto"/>
              <w:ind w:firstLine="420" w:firstLineChars="200"/>
              <w:rPr>
                <w:rFonts w:ascii="宋体" w:hAnsi="宋体" w:cs="宋体"/>
                <w:color w:val="auto"/>
                <w:kern w:val="0"/>
                <w:highlight w:val="none"/>
              </w:rPr>
            </w:pPr>
          </w:p>
        </w:tc>
      </w:tr>
      <w:tr w14:paraId="2D80F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9" w:type="dxa"/>
            <w:gridSpan w:val="5"/>
            <w:shd w:val="clear" w:color="auto" w:fill="auto"/>
            <w:vAlign w:val="center"/>
          </w:tcPr>
          <w:p w14:paraId="70E1CAFA">
            <w:pPr>
              <w:widowControl/>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szCs w:val="21"/>
                <w:highlight w:val="none"/>
                <w:lang w:bidi="ar"/>
              </w:rPr>
              <w:t>二、现场人员</w:t>
            </w:r>
          </w:p>
        </w:tc>
      </w:tr>
      <w:tr w14:paraId="277C4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5C3049E6">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工程</w:t>
            </w:r>
          </w:p>
          <w:p w14:paraId="41B8B49D">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项目经理</w:t>
            </w:r>
          </w:p>
        </w:tc>
        <w:tc>
          <w:tcPr>
            <w:tcW w:w="1418" w:type="dxa"/>
            <w:shd w:val="clear" w:color="auto" w:fill="auto"/>
            <w:vAlign w:val="center"/>
          </w:tcPr>
          <w:p w14:paraId="50E5DCEB">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6DFADF9F">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795E425C">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522D03CB">
            <w:pPr>
              <w:widowControl/>
              <w:adjustRightInd w:val="0"/>
              <w:snapToGrid w:val="0"/>
              <w:spacing w:line="360" w:lineRule="auto"/>
              <w:ind w:firstLine="420" w:firstLineChars="200"/>
              <w:rPr>
                <w:rFonts w:ascii="宋体" w:hAnsi="宋体" w:cs="宋体"/>
                <w:color w:val="auto"/>
                <w:kern w:val="0"/>
                <w:highlight w:val="none"/>
              </w:rPr>
            </w:pPr>
          </w:p>
          <w:p w14:paraId="5BA271D5">
            <w:pPr>
              <w:widowControl/>
              <w:adjustRightInd w:val="0"/>
              <w:snapToGrid w:val="0"/>
              <w:spacing w:line="360" w:lineRule="auto"/>
              <w:ind w:firstLine="420" w:firstLineChars="200"/>
              <w:rPr>
                <w:rFonts w:ascii="宋体" w:hAnsi="宋体" w:cs="宋体"/>
                <w:color w:val="auto"/>
                <w:kern w:val="0"/>
                <w:highlight w:val="none"/>
              </w:rPr>
            </w:pPr>
          </w:p>
        </w:tc>
      </w:tr>
      <w:tr w14:paraId="46FFF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1292AE19">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项目副经理</w:t>
            </w:r>
          </w:p>
        </w:tc>
        <w:tc>
          <w:tcPr>
            <w:tcW w:w="1418" w:type="dxa"/>
            <w:shd w:val="clear" w:color="auto" w:fill="auto"/>
            <w:vAlign w:val="center"/>
          </w:tcPr>
          <w:p w14:paraId="14316D66">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19DC31D3">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6917AB5A">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7B01EC99">
            <w:pPr>
              <w:widowControl/>
              <w:adjustRightInd w:val="0"/>
              <w:snapToGrid w:val="0"/>
              <w:spacing w:line="360" w:lineRule="auto"/>
              <w:ind w:firstLine="420" w:firstLineChars="200"/>
              <w:rPr>
                <w:rFonts w:ascii="宋体" w:hAnsi="宋体" w:cs="宋体"/>
                <w:color w:val="auto"/>
                <w:kern w:val="0"/>
                <w:highlight w:val="none"/>
              </w:rPr>
            </w:pPr>
          </w:p>
        </w:tc>
      </w:tr>
      <w:tr w14:paraId="3EC08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0B7D79F7">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施工负责人</w:t>
            </w:r>
          </w:p>
        </w:tc>
        <w:tc>
          <w:tcPr>
            <w:tcW w:w="1418" w:type="dxa"/>
            <w:shd w:val="clear" w:color="auto" w:fill="auto"/>
            <w:vAlign w:val="center"/>
          </w:tcPr>
          <w:p w14:paraId="7159518F">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65B85ED9">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6B22F184">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61A644CD">
            <w:pPr>
              <w:widowControl/>
              <w:adjustRightInd w:val="0"/>
              <w:snapToGrid w:val="0"/>
              <w:spacing w:line="360" w:lineRule="auto"/>
              <w:ind w:firstLine="420" w:firstLineChars="200"/>
              <w:rPr>
                <w:rFonts w:ascii="宋体" w:hAnsi="宋体" w:cs="宋体"/>
                <w:color w:val="auto"/>
                <w:kern w:val="0"/>
                <w:highlight w:val="none"/>
              </w:rPr>
            </w:pPr>
          </w:p>
        </w:tc>
      </w:tr>
      <w:tr w14:paraId="2CEFF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10A81633">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技术负责人</w:t>
            </w:r>
          </w:p>
        </w:tc>
        <w:tc>
          <w:tcPr>
            <w:tcW w:w="1418" w:type="dxa"/>
            <w:shd w:val="clear" w:color="auto" w:fill="auto"/>
            <w:vAlign w:val="center"/>
          </w:tcPr>
          <w:p w14:paraId="409A2EDA">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28B23FE2">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49C8BAB9">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76195E45">
            <w:pPr>
              <w:widowControl/>
              <w:adjustRightInd w:val="0"/>
              <w:snapToGrid w:val="0"/>
              <w:spacing w:line="360" w:lineRule="auto"/>
              <w:ind w:firstLine="420" w:firstLineChars="200"/>
              <w:rPr>
                <w:rFonts w:ascii="宋体" w:hAnsi="宋体" w:cs="宋体"/>
                <w:color w:val="auto"/>
                <w:kern w:val="0"/>
                <w:highlight w:val="none"/>
              </w:rPr>
            </w:pPr>
          </w:p>
        </w:tc>
      </w:tr>
      <w:tr w14:paraId="06233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3E54FC13">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造价管理</w:t>
            </w:r>
          </w:p>
        </w:tc>
        <w:tc>
          <w:tcPr>
            <w:tcW w:w="1418" w:type="dxa"/>
            <w:shd w:val="clear" w:color="auto" w:fill="auto"/>
            <w:vAlign w:val="center"/>
          </w:tcPr>
          <w:p w14:paraId="6F1222EC">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02120C14">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69D96126">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162279AE">
            <w:pPr>
              <w:widowControl/>
              <w:adjustRightInd w:val="0"/>
              <w:snapToGrid w:val="0"/>
              <w:spacing w:line="360" w:lineRule="auto"/>
              <w:ind w:firstLine="420" w:firstLineChars="200"/>
              <w:rPr>
                <w:rFonts w:ascii="宋体" w:hAnsi="宋体" w:cs="宋体"/>
                <w:color w:val="auto"/>
                <w:kern w:val="0"/>
                <w:highlight w:val="none"/>
              </w:rPr>
            </w:pPr>
          </w:p>
        </w:tc>
      </w:tr>
      <w:tr w14:paraId="31D1C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15552B57">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质量管理</w:t>
            </w:r>
          </w:p>
        </w:tc>
        <w:tc>
          <w:tcPr>
            <w:tcW w:w="1418" w:type="dxa"/>
            <w:shd w:val="clear" w:color="auto" w:fill="auto"/>
            <w:vAlign w:val="center"/>
          </w:tcPr>
          <w:p w14:paraId="16A23897">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2224BC64">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7F1E21A2">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7D0388F8">
            <w:pPr>
              <w:widowControl/>
              <w:adjustRightInd w:val="0"/>
              <w:snapToGrid w:val="0"/>
              <w:spacing w:line="360" w:lineRule="auto"/>
              <w:ind w:firstLine="420" w:firstLineChars="200"/>
              <w:rPr>
                <w:rFonts w:ascii="宋体" w:hAnsi="宋体" w:cs="宋体"/>
                <w:color w:val="auto"/>
                <w:kern w:val="0"/>
                <w:highlight w:val="none"/>
              </w:rPr>
            </w:pPr>
          </w:p>
        </w:tc>
      </w:tr>
      <w:tr w14:paraId="0E198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593F574B">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计划管理</w:t>
            </w:r>
          </w:p>
        </w:tc>
        <w:tc>
          <w:tcPr>
            <w:tcW w:w="1418" w:type="dxa"/>
            <w:shd w:val="clear" w:color="auto" w:fill="auto"/>
            <w:vAlign w:val="center"/>
          </w:tcPr>
          <w:p w14:paraId="497FD064">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7F304EEF">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4DA307FF">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56DEB186">
            <w:pPr>
              <w:widowControl/>
              <w:adjustRightInd w:val="0"/>
              <w:snapToGrid w:val="0"/>
              <w:spacing w:line="360" w:lineRule="auto"/>
              <w:ind w:firstLine="420" w:firstLineChars="200"/>
              <w:rPr>
                <w:rFonts w:ascii="宋体" w:hAnsi="宋体" w:cs="宋体"/>
                <w:color w:val="auto"/>
                <w:kern w:val="0"/>
                <w:highlight w:val="none"/>
              </w:rPr>
            </w:pPr>
          </w:p>
        </w:tc>
      </w:tr>
      <w:tr w14:paraId="19691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1E998462">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安全管理</w:t>
            </w:r>
          </w:p>
        </w:tc>
        <w:tc>
          <w:tcPr>
            <w:tcW w:w="1418" w:type="dxa"/>
            <w:shd w:val="clear" w:color="auto" w:fill="auto"/>
            <w:vAlign w:val="center"/>
          </w:tcPr>
          <w:p w14:paraId="11042768">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4E115B74">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4D540CE5">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555DB245">
            <w:pPr>
              <w:widowControl/>
              <w:adjustRightInd w:val="0"/>
              <w:snapToGrid w:val="0"/>
              <w:spacing w:line="360" w:lineRule="auto"/>
              <w:ind w:firstLine="420" w:firstLineChars="200"/>
              <w:rPr>
                <w:rFonts w:ascii="宋体" w:hAnsi="宋体" w:cs="宋体"/>
                <w:color w:val="auto"/>
                <w:kern w:val="0"/>
                <w:highlight w:val="none"/>
              </w:rPr>
            </w:pPr>
          </w:p>
        </w:tc>
      </w:tr>
      <w:tr w14:paraId="434E1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shd w:val="clear" w:color="auto" w:fill="auto"/>
            <w:vAlign w:val="center"/>
          </w:tcPr>
          <w:p w14:paraId="33AF9FDF">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环境管理</w:t>
            </w:r>
          </w:p>
        </w:tc>
        <w:tc>
          <w:tcPr>
            <w:tcW w:w="1418" w:type="dxa"/>
            <w:shd w:val="clear" w:color="auto" w:fill="auto"/>
            <w:vAlign w:val="center"/>
          </w:tcPr>
          <w:p w14:paraId="0E42D8BA">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6E0F158E">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2C55E456">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0F966BB6">
            <w:pPr>
              <w:widowControl/>
              <w:adjustRightInd w:val="0"/>
              <w:snapToGrid w:val="0"/>
              <w:spacing w:line="360" w:lineRule="auto"/>
              <w:ind w:firstLine="420" w:firstLineChars="200"/>
              <w:rPr>
                <w:rFonts w:ascii="宋体" w:hAnsi="宋体" w:cs="宋体"/>
                <w:color w:val="auto"/>
                <w:kern w:val="0"/>
                <w:highlight w:val="none"/>
              </w:rPr>
            </w:pPr>
          </w:p>
        </w:tc>
      </w:tr>
      <w:tr w14:paraId="1569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shd w:val="clear" w:color="auto" w:fill="auto"/>
            <w:vAlign w:val="center"/>
          </w:tcPr>
          <w:p w14:paraId="1191DEB5">
            <w:pPr>
              <w:widowControl/>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lang w:bidi="ar"/>
              </w:rPr>
              <w:t>其他人员</w:t>
            </w:r>
          </w:p>
        </w:tc>
        <w:tc>
          <w:tcPr>
            <w:tcW w:w="1418" w:type="dxa"/>
            <w:shd w:val="clear" w:color="auto" w:fill="auto"/>
            <w:vAlign w:val="center"/>
          </w:tcPr>
          <w:p w14:paraId="071859CA">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2C641BAB">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597200C0">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211A1984">
            <w:pPr>
              <w:widowControl/>
              <w:adjustRightInd w:val="0"/>
              <w:snapToGrid w:val="0"/>
              <w:spacing w:line="360" w:lineRule="auto"/>
              <w:ind w:firstLine="420" w:firstLineChars="200"/>
              <w:rPr>
                <w:rFonts w:ascii="宋体" w:hAnsi="宋体" w:cs="宋体"/>
                <w:color w:val="auto"/>
                <w:kern w:val="0"/>
                <w:highlight w:val="none"/>
              </w:rPr>
            </w:pPr>
          </w:p>
        </w:tc>
      </w:tr>
      <w:tr w14:paraId="150D0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shd w:val="clear" w:color="auto" w:fill="auto"/>
            <w:vAlign w:val="center"/>
          </w:tcPr>
          <w:p w14:paraId="1EDEEDA1">
            <w:pPr>
              <w:rPr>
                <w:color w:val="auto"/>
                <w:sz w:val="20"/>
                <w:szCs w:val="20"/>
                <w:highlight w:val="none"/>
              </w:rPr>
            </w:pPr>
          </w:p>
        </w:tc>
        <w:tc>
          <w:tcPr>
            <w:tcW w:w="1418" w:type="dxa"/>
            <w:shd w:val="clear" w:color="auto" w:fill="auto"/>
            <w:vAlign w:val="center"/>
          </w:tcPr>
          <w:p w14:paraId="141262D7">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30774D69">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07ED3E2F">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4B6650EA">
            <w:pPr>
              <w:widowControl/>
              <w:adjustRightInd w:val="0"/>
              <w:snapToGrid w:val="0"/>
              <w:spacing w:line="360" w:lineRule="auto"/>
              <w:ind w:firstLine="420" w:firstLineChars="200"/>
              <w:rPr>
                <w:rFonts w:ascii="宋体" w:hAnsi="宋体" w:cs="宋体"/>
                <w:color w:val="auto"/>
                <w:kern w:val="0"/>
                <w:highlight w:val="none"/>
              </w:rPr>
            </w:pPr>
          </w:p>
        </w:tc>
      </w:tr>
      <w:tr w14:paraId="2ABDB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shd w:val="clear" w:color="auto" w:fill="auto"/>
            <w:vAlign w:val="center"/>
          </w:tcPr>
          <w:p w14:paraId="7E98C185">
            <w:pPr>
              <w:rPr>
                <w:color w:val="auto"/>
                <w:sz w:val="20"/>
                <w:szCs w:val="20"/>
                <w:highlight w:val="none"/>
              </w:rPr>
            </w:pPr>
          </w:p>
        </w:tc>
        <w:tc>
          <w:tcPr>
            <w:tcW w:w="1418" w:type="dxa"/>
            <w:shd w:val="clear" w:color="auto" w:fill="auto"/>
            <w:vAlign w:val="center"/>
          </w:tcPr>
          <w:p w14:paraId="56211BD8">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2AC3F0DD">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46808074">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293893F4">
            <w:pPr>
              <w:widowControl/>
              <w:adjustRightInd w:val="0"/>
              <w:snapToGrid w:val="0"/>
              <w:spacing w:line="360" w:lineRule="auto"/>
              <w:ind w:firstLine="420" w:firstLineChars="200"/>
              <w:rPr>
                <w:rFonts w:ascii="宋体" w:hAnsi="宋体" w:cs="宋体"/>
                <w:color w:val="auto"/>
                <w:kern w:val="0"/>
                <w:highlight w:val="none"/>
              </w:rPr>
            </w:pPr>
          </w:p>
        </w:tc>
      </w:tr>
      <w:tr w14:paraId="05E4D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shd w:val="clear" w:color="auto" w:fill="auto"/>
            <w:vAlign w:val="center"/>
          </w:tcPr>
          <w:p w14:paraId="7F3442D1">
            <w:pPr>
              <w:rPr>
                <w:color w:val="auto"/>
                <w:sz w:val="20"/>
                <w:szCs w:val="20"/>
                <w:highlight w:val="none"/>
              </w:rPr>
            </w:pPr>
          </w:p>
        </w:tc>
        <w:tc>
          <w:tcPr>
            <w:tcW w:w="1418" w:type="dxa"/>
            <w:shd w:val="clear" w:color="auto" w:fill="auto"/>
            <w:vAlign w:val="center"/>
          </w:tcPr>
          <w:p w14:paraId="122A2C71">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16857EEC">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09FEFC5E">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639F02F8">
            <w:pPr>
              <w:widowControl/>
              <w:adjustRightInd w:val="0"/>
              <w:snapToGrid w:val="0"/>
              <w:spacing w:line="360" w:lineRule="auto"/>
              <w:ind w:firstLine="420" w:firstLineChars="200"/>
              <w:rPr>
                <w:rFonts w:ascii="宋体" w:hAnsi="宋体" w:cs="宋体"/>
                <w:color w:val="auto"/>
                <w:kern w:val="0"/>
                <w:highlight w:val="none"/>
              </w:rPr>
            </w:pPr>
          </w:p>
        </w:tc>
      </w:tr>
      <w:tr w14:paraId="19327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shd w:val="clear" w:color="auto" w:fill="auto"/>
            <w:vAlign w:val="center"/>
          </w:tcPr>
          <w:p w14:paraId="6541424A">
            <w:pPr>
              <w:rPr>
                <w:color w:val="auto"/>
                <w:sz w:val="20"/>
                <w:szCs w:val="20"/>
                <w:highlight w:val="none"/>
              </w:rPr>
            </w:pPr>
          </w:p>
        </w:tc>
        <w:tc>
          <w:tcPr>
            <w:tcW w:w="1418" w:type="dxa"/>
            <w:shd w:val="clear" w:color="auto" w:fill="auto"/>
            <w:vAlign w:val="center"/>
          </w:tcPr>
          <w:p w14:paraId="647CF8F6">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74F398D4">
            <w:pPr>
              <w:widowControl/>
              <w:adjustRightInd w:val="0"/>
              <w:snapToGrid w:val="0"/>
              <w:spacing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1A45773B">
            <w:pPr>
              <w:widowControl/>
              <w:adjustRightInd w:val="0"/>
              <w:snapToGrid w:val="0"/>
              <w:spacing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211B5A7E">
            <w:pPr>
              <w:widowControl/>
              <w:adjustRightInd w:val="0"/>
              <w:snapToGrid w:val="0"/>
              <w:spacing w:line="360" w:lineRule="auto"/>
              <w:ind w:firstLine="420" w:firstLineChars="200"/>
              <w:rPr>
                <w:rFonts w:ascii="宋体" w:hAnsi="宋体" w:cs="宋体"/>
                <w:color w:val="auto"/>
                <w:kern w:val="0"/>
                <w:highlight w:val="none"/>
              </w:rPr>
            </w:pPr>
          </w:p>
        </w:tc>
      </w:tr>
      <w:tr w14:paraId="3D8E8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shd w:val="clear" w:color="auto" w:fill="auto"/>
            <w:vAlign w:val="center"/>
          </w:tcPr>
          <w:p w14:paraId="7BE94D68">
            <w:pPr>
              <w:rPr>
                <w:color w:val="auto"/>
                <w:sz w:val="20"/>
                <w:szCs w:val="20"/>
                <w:highlight w:val="none"/>
              </w:rPr>
            </w:pPr>
          </w:p>
        </w:tc>
        <w:tc>
          <w:tcPr>
            <w:tcW w:w="1418" w:type="dxa"/>
            <w:shd w:val="clear" w:color="auto" w:fill="auto"/>
            <w:vAlign w:val="center"/>
          </w:tcPr>
          <w:p w14:paraId="207BD8CF">
            <w:pPr>
              <w:widowControl/>
              <w:adjustRightInd w:val="0"/>
              <w:snapToGrid w:val="0"/>
              <w:spacing w:after="156" w:afterLines="50"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26EF1E7F">
            <w:pPr>
              <w:widowControl/>
              <w:adjustRightInd w:val="0"/>
              <w:snapToGrid w:val="0"/>
              <w:spacing w:after="156" w:afterLines="50" w:line="360" w:lineRule="auto"/>
              <w:ind w:firstLine="420" w:firstLineChars="200"/>
              <w:rPr>
                <w:rFonts w:ascii="宋体" w:hAnsi="宋体" w:cs="宋体"/>
                <w:color w:val="auto"/>
                <w:kern w:val="0"/>
                <w:highlight w:val="none"/>
              </w:rPr>
            </w:pPr>
          </w:p>
        </w:tc>
        <w:tc>
          <w:tcPr>
            <w:tcW w:w="1135" w:type="dxa"/>
            <w:shd w:val="clear" w:color="auto" w:fill="auto"/>
            <w:vAlign w:val="center"/>
          </w:tcPr>
          <w:p w14:paraId="20217BC4">
            <w:pPr>
              <w:widowControl/>
              <w:adjustRightInd w:val="0"/>
              <w:snapToGrid w:val="0"/>
              <w:spacing w:after="156" w:afterLines="50" w:line="360" w:lineRule="auto"/>
              <w:ind w:firstLine="420" w:firstLineChars="200"/>
              <w:rPr>
                <w:rFonts w:ascii="宋体" w:hAnsi="宋体" w:cs="宋体"/>
                <w:color w:val="auto"/>
                <w:kern w:val="0"/>
                <w:highlight w:val="none"/>
              </w:rPr>
            </w:pPr>
          </w:p>
        </w:tc>
        <w:tc>
          <w:tcPr>
            <w:tcW w:w="3896" w:type="dxa"/>
            <w:shd w:val="clear" w:color="auto" w:fill="auto"/>
            <w:vAlign w:val="center"/>
          </w:tcPr>
          <w:p w14:paraId="73881044">
            <w:pPr>
              <w:widowControl/>
              <w:adjustRightInd w:val="0"/>
              <w:snapToGrid w:val="0"/>
              <w:spacing w:after="156" w:afterLines="50" w:line="360" w:lineRule="auto"/>
              <w:ind w:firstLine="420" w:firstLineChars="200"/>
              <w:rPr>
                <w:rFonts w:ascii="宋体" w:hAnsi="宋体" w:cs="宋体"/>
                <w:color w:val="auto"/>
                <w:kern w:val="0"/>
                <w:highlight w:val="none"/>
              </w:rPr>
            </w:pPr>
          </w:p>
        </w:tc>
      </w:tr>
    </w:tbl>
    <w:p w14:paraId="4831EC92">
      <w:pPr>
        <w:widowControl/>
        <w:adjustRightInd w:val="0"/>
        <w:snapToGrid w:val="0"/>
        <w:spacing w:after="156" w:afterLines="50" w:line="360" w:lineRule="auto"/>
        <w:ind w:firstLine="420" w:firstLineChars="200"/>
        <w:rPr>
          <w:rFonts w:ascii="宋体" w:hAnsi="宋体" w:cs="宋体"/>
          <w:color w:val="auto"/>
          <w:kern w:val="0"/>
          <w:highlight w:val="none"/>
        </w:rPr>
      </w:pPr>
      <w:r>
        <w:rPr>
          <w:rFonts w:hint="eastAsia" w:ascii="宋体" w:hAnsi="宋体"/>
          <w:color w:val="auto"/>
          <w:szCs w:val="21"/>
          <w:highlight w:val="none"/>
          <w:lang w:bidi="ar"/>
        </w:rPr>
        <w:br w:type="page"/>
      </w:r>
    </w:p>
    <w:p w14:paraId="55982917">
      <w:pPr>
        <w:widowControl/>
        <w:jc w:val="left"/>
        <w:rPr>
          <w:rFonts w:ascii="宋体" w:hAnsi="宋体" w:cs="宋体"/>
          <w:color w:val="auto"/>
          <w:kern w:val="0"/>
          <w:highlight w:val="none"/>
        </w:rPr>
      </w:pPr>
      <w:bookmarkStart w:id="2745" w:name="_Toc20171898"/>
      <w:bookmarkEnd w:id="2745"/>
    </w:p>
    <w:p w14:paraId="5239DA6D">
      <w:pPr>
        <w:keepNext/>
        <w:keepLines/>
        <w:widowControl/>
        <w:wordWrap w:val="0"/>
        <w:topLinePunct/>
        <w:adjustRightInd w:val="0"/>
        <w:snapToGrid w:val="0"/>
        <w:spacing w:after="156" w:afterLines="50" w:line="360" w:lineRule="auto"/>
        <w:jc w:val="center"/>
        <w:outlineLvl w:val="1"/>
        <w:rPr>
          <w:rFonts w:ascii="宋体" w:hAnsi="宋体" w:cs="宋体"/>
          <w:b/>
          <w:color w:val="auto"/>
          <w:kern w:val="0"/>
          <w:highlight w:val="none"/>
        </w:rPr>
      </w:pPr>
      <w:bookmarkStart w:id="2746" w:name="_Toc170932621"/>
      <w:bookmarkStart w:id="2747" w:name="_Toc4141"/>
      <w:r>
        <w:rPr>
          <w:rFonts w:hint="eastAsia" w:ascii="宋体" w:hAnsi="宋体" w:cs="宋体"/>
          <w:b/>
          <w:color w:val="auto"/>
          <w:kern w:val="0"/>
          <w:szCs w:val="21"/>
          <w:highlight w:val="none"/>
          <w:lang w:bidi="ar"/>
        </w:rPr>
        <w:t>附件6：廉洁从业协议</w:t>
      </w:r>
      <w:bookmarkEnd w:id="2746"/>
      <w:bookmarkEnd w:id="2747"/>
    </w:p>
    <w:p w14:paraId="2B061BB3">
      <w:pPr>
        <w:widowControl/>
        <w:spacing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w:t>
      </w:r>
    </w:p>
    <w:p w14:paraId="138DFC35">
      <w:pPr>
        <w:pStyle w:val="2"/>
        <w:rPr>
          <w:color w:val="auto"/>
          <w:highlight w:val="none"/>
          <w:lang w:bidi="ar"/>
        </w:rPr>
      </w:pPr>
      <w:r>
        <w:rPr>
          <w:rFonts w:hint="eastAsia"/>
          <w:color w:val="auto"/>
          <w:highlight w:val="none"/>
          <w:lang w:bidi="ar"/>
        </w:rPr>
        <w:t>发包人（全称）：</w:t>
      </w:r>
      <w:r>
        <w:rPr>
          <w:rFonts w:hint="eastAsia"/>
          <w:color w:val="auto"/>
          <w:highlight w:val="none"/>
          <w:u w:val="single"/>
          <w:lang w:bidi="ar"/>
        </w:rPr>
        <w:t xml:space="preserve">                                  </w:t>
      </w:r>
    </w:p>
    <w:p w14:paraId="2B304F72">
      <w:pPr>
        <w:pStyle w:val="2"/>
        <w:rPr>
          <w:color w:val="auto"/>
          <w:highlight w:val="none"/>
          <w:lang w:bidi="ar"/>
        </w:rPr>
      </w:pPr>
      <w:r>
        <w:rPr>
          <w:rFonts w:hint="eastAsia"/>
          <w:color w:val="auto"/>
          <w:highlight w:val="none"/>
          <w:lang w:bidi="ar"/>
        </w:rPr>
        <w:t>承包人（全称）：</w:t>
      </w:r>
      <w:r>
        <w:rPr>
          <w:rFonts w:hint="eastAsia"/>
          <w:color w:val="auto"/>
          <w:highlight w:val="none"/>
          <w:u w:val="single"/>
          <w:lang w:bidi="ar"/>
        </w:rPr>
        <w:t xml:space="preserve">                                  </w:t>
      </w:r>
    </w:p>
    <w:p w14:paraId="544F137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5E1F0AE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1. 发包人承包人的权利和义务</w:t>
      </w:r>
    </w:p>
    <w:p w14:paraId="019F149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（1）严格遵守党的政策规定和国家有关法律法规及相关部门的有关规定。</w:t>
      </w:r>
    </w:p>
    <w:p w14:paraId="51D3717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（2）严格执行 工程的合同文件，自觉按合同办事。</w:t>
      </w:r>
    </w:p>
    <w:p w14:paraId="44ABC85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（3）双方的业务活动坚持公开、公正、诚信、透明的原则（法律认定的商业秘密和合同文件另有规定除外），不得损害国家和集体利益，违反工程建设管理规章制度。</w:t>
      </w:r>
    </w:p>
    <w:p w14:paraId="74CA4761">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（4）建立健全廉政制度，开展廉政教育，设立廉政告示牌，公布举报电话，监督并认真查处违法违纪行为。</w:t>
      </w:r>
    </w:p>
    <w:p w14:paraId="2562688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（5）发现对方在业务活动中有违反廉政规定的行为，有及时提醒对方纠正的权利和义务。</w:t>
      </w:r>
    </w:p>
    <w:p w14:paraId="25901BA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（6）发现对方严重违反协议义务条款的行为，有向其上级有关部门举报、建议给予处理并要求告知处理结果的权利。</w:t>
      </w:r>
    </w:p>
    <w:p w14:paraId="7922DD0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 发包人的义务</w:t>
      </w:r>
    </w:p>
    <w:p w14:paraId="631E60E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（1）发包人及其工作人员不得索要或接受承包人的礼金、有价证券和贵重物品，不得在承包人报销任何应由发包人或发包人工作人员个人支付的费用等。</w:t>
      </w:r>
    </w:p>
    <w:p w14:paraId="0AEBCC1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（2）发包人工作人员不得参加承包人安排的超标准宴请和娱乐活动；不得接受承包人提供的通讯工具、交通工具和高档办公用品等。</w:t>
      </w:r>
    </w:p>
    <w:p w14:paraId="3FFE81E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（3）发包人及其工作人员不得要求或者接受承包人为其住房装修、婚丧嫁娶活动、配偶子女的工作安排以及出国出境、旅游等提供方便等。</w:t>
      </w:r>
    </w:p>
    <w:p w14:paraId="191187B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（4）发包人工作人员及其配偶、子女不得从事与发包人工程有关的材料设备供应、工程分包、劳务等经济活动等。</w:t>
      </w:r>
    </w:p>
    <w:p w14:paraId="74A4B36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（5）发包人及其工作人员不得以任何理由向承包人推荐分包单位或推销材料，不得要求承包人购买合同规定外的材料和设备。</w:t>
      </w:r>
    </w:p>
    <w:p w14:paraId="420E3879">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（6）发包人工作人员要秉公办事，不准营私舞弊，不准利用职权从事各种个人有偿中介活动和安排个人施工队伍。</w:t>
      </w:r>
    </w:p>
    <w:p w14:paraId="52460BA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 承包人义务</w:t>
      </w:r>
    </w:p>
    <w:p w14:paraId="3BBE19C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（1）承包人不得以任何理由向发包人及其工作人员行贿或馈赠礼金、有价证券、贵重礼品。</w:t>
      </w:r>
    </w:p>
    <w:p w14:paraId="45B4124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（2）承包人不得以任何名义为发包人及其工作人员报销应由发包人单位或个人支付的任何费用。</w:t>
      </w:r>
    </w:p>
    <w:p w14:paraId="3D81652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（3）承包人不得以任何理由安排发包人工作人员参加超标准宴请及娱乐活动。</w:t>
      </w:r>
    </w:p>
    <w:p w14:paraId="0E562B5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（4）承包人不得为发包人单位和个人购置或提供通讯工具、交通工具和高档办公用品等。</w:t>
      </w:r>
    </w:p>
    <w:p w14:paraId="5CE8ABA6">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 违约责任</w:t>
      </w:r>
    </w:p>
    <w:p w14:paraId="46CBECB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（1）发包人及其工作人员违反合同第1、2条，按管理权限，依据有关规定给予党纪、政纪或组织处理；涉嫌犯罪的，移交司法机关追究刑事责任；给承包人单位造成经济损失的，应予以赔偿。</w:t>
      </w:r>
    </w:p>
    <w:p w14:paraId="32E060F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（2）承包人及其工作人员违反合同第1、3条，按管理权限，依据有关规定给予党纪、政纪或组织处理；给发包人单位造成经济损失的，应予以赔偿。</w:t>
      </w:r>
    </w:p>
    <w:p w14:paraId="1BA74F0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4FF7E7D6">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 协议有效期为甲乙双方签署之日起至该工程项目竣工验收后止。</w:t>
      </w:r>
    </w:p>
    <w:p w14:paraId="7DA04D5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7.协议作为 工程施工合同的附件，与工程施工合同具有同等的法律效力，经合同双方签署立即生效。</w:t>
      </w:r>
    </w:p>
    <w:p w14:paraId="671F124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（以下无正文）</w:t>
      </w:r>
    </w:p>
    <w:p w14:paraId="711A105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2EAA356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甲     方：                         乙     方：</w:t>
      </w:r>
    </w:p>
    <w:p w14:paraId="421C15A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6D02339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04210F21">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法定代表人                          法定代表人                      </w:t>
      </w:r>
    </w:p>
    <w:p w14:paraId="0AB96DA9">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60B1538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52C225F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或其授权的代理人：                  或授权的代理人：</w:t>
      </w:r>
    </w:p>
    <w:p w14:paraId="68D38D33">
      <w:pPr>
        <w:keepNext/>
        <w:keepLines/>
        <w:widowControl/>
        <w:wordWrap w:val="0"/>
        <w:topLinePunct/>
        <w:adjustRightInd w:val="0"/>
        <w:snapToGrid w:val="0"/>
        <w:spacing w:after="156" w:afterLines="50" w:line="360" w:lineRule="auto"/>
        <w:jc w:val="center"/>
        <w:outlineLvl w:val="1"/>
        <w:rPr>
          <w:rFonts w:ascii="宋体" w:hAnsi="宋体" w:cs="宋体"/>
          <w:color w:val="auto"/>
          <w:kern w:val="0"/>
          <w:highlight w:val="none"/>
        </w:rPr>
      </w:pPr>
      <w:r>
        <w:rPr>
          <w:rFonts w:hint="eastAsia" w:ascii="宋体" w:hAnsi="宋体"/>
          <w:color w:val="auto"/>
          <w:szCs w:val="21"/>
          <w:highlight w:val="none"/>
          <w:lang w:bidi="ar"/>
        </w:rPr>
        <w:br w:type="page"/>
      </w:r>
      <w:bookmarkStart w:id="2748" w:name="_Toc170932622"/>
      <w:bookmarkStart w:id="2749" w:name="_Toc29084"/>
      <w:r>
        <w:rPr>
          <w:rFonts w:hint="eastAsia" w:ascii="宋体" w:hAnsi="宋体" w:cs="宋体"/>
          <w:b/>
          <w:color w:val="auto"/>
          <w:kern w:val="0"/>
          <w:szCs w:val="21"/>
          <w:highlight w:val="none"/>
          <w:lang w:bidi="ar"/>
        </w:rPr>
        <w:t>附件7：安全管理协议</w:t>
      </w:r>
      <w:bookmarkEnd w:id="2748"/>
      <w:bookmarkEnd w:id="2749"/>
    </w:p>
    <w:p w14:paraId="7D2A9BA3">
      <w:pPr>
        <w:widowControl/>
        <w:spacing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w:t>
      </w:r>
    </w:p>
    <w:p w14:paraId="51A01B03">
      <w:pPr>
        <w:pStyle w:val="2"/>
        <w:rPr>
          <w:color w:val="auto"/>
          <w:highlight w:val="none"/>
          <w:lang w:bidi="ar"/>
        </w:rPr>
      </w:pPr>
      <w:r>
        <w:rPr>
          <w:rFonts w:hint="eastAsia"/>
          <w:color w:val="auto"/>
          <w:highlight w:val="none"/>
          <w:lang w:bidi="ar"/>
        </w:rPr>
        <w:t>发包人（全称）：</w:t>
      </w:r>
      <w:r>
        <w:rPr>
          <w:rFonts w:hint="eastAsia"/>
          <w:color w:val="auto"/>
          <w:highlight w:val="none"/>
          <w:u w:val="single"/>
          <w:lang w:bidi="ar"/>
        </w:rPr>
        <w:t xml:space="preserve">                                  </w:t>
      </w:r>
    </w:p>
    <w:p w14:paraId="51E11ECA">
      <w:pPr>
        <w:pStyle w:val="2"/>
        <w:rPr>
          <w:color w:val="auto"/>
          <w:highlight w:val="none"/>
          <w:lang w:bidi="ar"/>
        </w:rPr>
      </w:pPr>
      <w:r>
        <w:rPr>
          <w:rFonts w:hint="eastAsia"/>
          <w:color w:val="auto"/>
          <w:highlight w:val="none"/>
          <w:lang w:bidi="ar"/>
        </w:rPr>
        <w:t>承包人（全称）：</w:t>
      </w:r>
      <w:r>
        <w:rPr>
          <w:rFonts w:hint="eastAsia"/>
          <w:color w:val="auto"/>
          <w:highlight w:val="none"/>
          <w:u w:val="single"/>
          <w:lang w:bidi="ar"/>
        </w:rPr>
        <w:t xml:space="preserve">                                  </w:t>
      </w:r>
    </w:p>
    <w:p w14:paraId="30729D1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为了确保实现</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安全生产目标，进一步明确双方的安全管理责任，加强安全生产管理工作的协调、管理力度，</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（以下简称“发包人”）与</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CE98060">
      <w:pPr>
        <w:widowControl/>
        <w:spacing w:line="360" w:lineRule="auto"/>
        <w:ind w:firstLine="420" w:firstLineChars="200"/>
        <w:jc w:val="left"/>
        <w:rPr>
          <w:rFonts w:ascii="宋体" w:hAnsi="宋体" w:cs="宋体"/>
          <w:color w:val="auto"/>
          <w:kern w:val="0"/>
          <w:highlight w:val="none"/>
        </w:rPr>
      </w:pPr>
      <w:bookmarkStart w:id="2750" w:name="_Toc532375700"/>
      <w:bookmarkEnd w:id="2750"/>
      <w:bookmarkStart w:id="2751" w:name="_Toc239510289"/>
      <w:bookmarkEnd w:id="2751"/>
      <w:bookmarkStart w:id="2752" w:name="_Toc247431423"/>
      <w:bookmarkEnd w:id="2752"/>
      <w:bookmarkStart w:id="2753" w:name="_Toc247418263"/>
      <w:r>
        <w:rPr>
          <w:rFonts w:hint="eastAsia" w:ascii="宋体" w:hAnsi="宋体" w:cs="宋体"/>
          <w:color w:val="auto"/>
          <w:kern w:val="0"/>
          <w:szCs w:val="21"/>
          <w:highlight w:val="none"/>
          <w:lang w:bidi="ar"/>
        </w:rPr>
        <w:t>一、协议有效期限</w:t>
      </w:r>
      <w:bookmarkEnd w:id="2753"/>
    </w:p>
    <w:p w14:paraId="450B3F6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本协议中所涉及的安全管理责任自合同订立之日起开始生效，至合同工程全部完工验收且经发包人与承包人签订移交协议生效后之日终止。</w:t>
      </w:r>
    </w:p>
    <w:p w14:paraId="4FCB0653">
      <w:pPr>
        <w:widowControl/>
        <w:spacing w:line="360" w:lineRule="auto"/>
        <w:ind w:firstLine="420" w:firstLineChars="200"/>
        <w:jc w:val="left"/>
        <w:rPr>
          <w:rFonts w:ascii="宋体" w:hAnsi="宋体" w:cs="宋体"/>
          <w:color w:val="auto"/>
          <w:kern w:val="0"/>
          <w:highlight w:val="none"/>
        </w:rPr>
      </w:pPr>
      <w:bookmarkStart w:id="2754" w:name="_Toc239510290"/>
      <w:bookmarkEnd w:id="2754"/>
      <w:bookmarkStart w:id="2755" w:name="_Toc247431424"/>
      <w:bookmarkEnd w:id="2755"/>
      <w:bookmarkStart w:id="2756" w:name="_Toc247418264"/>
      <w:bookmarkEnd w:id="2756"/>
      <w:bookmarkStart w:id="2757" w:name="_Toc532375701"/>
      <w:r>
        <w:rPr>
          <w:rFonts w:hint="eastAsia" w:ascii="宋体" w:hAnsi="宋体" w:cs="宋体"/>
          <w:color w:val="auto"/>
          <w:kern w:val="0"/>
          <w:szCs w:val="21"/>
          <w:highlight w:val="none"/>
          <w:lang w:bidi="ar"/>
        </w:rPr>
        <w:t>二、责任目标</w:t>
      </w:r>
      <w:bookmarkEnd w:id="2757"/>
    </w:p>
    <w:p w14:paraId="3654DF9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（一）承包人承诺承担和履行合同和发包人所规定的安全责任，且满足要求。</w:t>
      </w:r>
    </w:p>
    <w:p w14:paraId="36AD14C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（二）承包人的安全控制目标是确保本工程在实施过程中：</w:t>
      </w:r>
    </w:p>
    <w:p w14:paraId="76953AC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1．不发生人身重伤事故；</w:t>
      </w:r>
    </w:p>
    <w:p w14:paraId="6515112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2．不发生火灾事故；</w:t>
      </w:r>
    </w:p>
    <w:p w14:paraId="5EBCEF49">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3．不发生负有同等及以上事故责任的造成人身重伤的一般交通事故；</w:t>
      </w:r>
    </w:p>
    <w:p w14:paraId="5B884E7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4．不发生集体食物中毒事件（同时5人及以上的食物中毒）；</w:t>
      </w:r>
    </w:p>
    <w:p w14:paraId="51499FC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5．不发生流行性传染病 （无甲型传染病、其他常见传染病未形成多人同时患病）；</w:t>
      </w:r>
    </w:p>
    <w:p w14:paraId="1DAF98C6">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6．不发生重大环境污染事件（生活、工业垃圾及其他污染物造成环境污染和大面积水土流失）；</w:t>
      </w:r>
    </w:p>
    <w:p w14:paraId="7BBFE12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7．不发生对施工区附近生产、生活造成重大影响的事件（如造成重大设备损坏、重大财产损失、人员伤害等）；</w:t>
      </w:r>
    </w:p>
    <w:p w14:paraId="0E6485A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8．不发生治安保卫事件（构成刑事拘留及以上的事件、盗窃直接损失超过1万元人民币的事件）。</w:t>
      </w:r>
    </w:p>
    <w:p w14:paraId="2CF955B4">
      <w:pPr>
        <w:widowControl/>
        <w:spacing w:line="360" w:lineRule="auto"/>
        <w:ind w:firstLine="420" w:firstLineChars="200"/>
        <w:jc w:val="left"/>
        <w:rPr>
          <w:rFonts w:ascii="宋体" w:hAnsi="宋体" w:cs="宋体"/>
          <w:color w:val="auto"/>
          <w:kern w:val="0"/>
          <w:highlight w:val="none"/>
        </w:rPr>
      </w:pPr>
      <w:bookmarkStart w:id="2758" w:name="_Toc247418265"/>
      <w:bookmarkEnd w:id="2758"/>
      <w:bookmarkStart w:id="2759" w:name="_Toc247431425"/>
      <w:bookmarkEnd w:id="2759"/>
      <w:bookmarkStart w:id="2760" w:name="_Toc239510291"/>
      <w:r>
        <w:rPr>
          <w:rFonts w:hint="eastAsia" w:ascii="宋体" w:hAnsi="宋体" w:cs="宋体"/>
          <w:color w:val="auto"/>
          <w:kern w:val="0"/>
          <w:szCs w:val="21"/>
          <w:highlight w:val="none"/>
          <w:lang w:bidi="ar"/>
        </w:rPr>
        <w:t>（三）承包人承诺在施工中控制以下安全事故的发生：</w:t>
      </w:r>
      <w:bookmarkEnd w:id="2760"/>
    </w:p>
    <w:p w14:paraId="77667B6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1．人员轻伤事故。</w:t>
      </w:r>
    </w:p>
    <w:p w14:paraId="4EE6E9A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2．负有同等及以上事故责任的人身轻伤交通事故。</w:t>
      </w:r>
    </w:p>
    <w:p w14:paraId="7DC9D33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3．其他安全未遂事故和异常事件。</w:t>
      </w:r>
    </w:p>
    <w:p w14:paraId="48192342">
      <w:pPr>
        <w:widowControl/>
        <w:spacing w:line="360" w:lineRule="auto"/>
        <w:ind w:firstLine="420" w:firstLineChars="200"/>
        <w:jc w:val="left"/>
        <w:rPr>
          <w:rFonts w:ascii="宋体" w:hAnsi="宋体" w:cs="宋体"/>
          <w:color w:val="auto"/>
          <w:kern w:val="0"/>
          <w:highlight w:val="none"/>
        </w:rPr>
      </w:pPr>
      <w:bookmarkStart w:id="2761" w:name="_Toc247431426"/>
      <w:bookmarkEnd w:id="2761"/>
      <w:bookmarkStart w:id="2762" w:name="_Toc532375702"/>
      <w:bookmarkEnd w:id="2762"/>
      <w:bookmarkStart w:id="2763" w:name="_Toc247418266"/>
      <w:bookmarkEnd w:id="2763"/>
      <w:bookmarkStart w:id="2764" w:name="_Toc239510292"/>
      <w:r>
        <w:rPr>
          <w:rFonts w:hint="eastAsia" w:ascii="宋体" w:hAnsi="宋体" w:cs="宋体"/>
          <w:color w:val="auto"/>
          <w:kern w:val="0"/>
          <w:szCs w:val="21"/>
          <w:highlight w:val="none"/>
          <w:lang w:bidi="ar"/>
        </w:rPr>
        <w:t>三、安全责任</w:t>
      </w:r>
      <w:bookmarkEnd w:id="2764"/>
    </w:p>
    <w:p w14:paraId="6CD2A82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1．承包人负有安全生产的管理责任和直接责任。</w:t>
      </w:r>
    </w:p>
    <w:p w14:paraId="22C70F8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2．承包人的法人或签署合同的公司总经理或受委托的代理人对合同安全负有全面的领导责任。</w:t>
      </w:r>
    </w:p>
    <w:p w14:paraId="07454701">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3．承包人项目经理对施工现场的安全工作负有全面的直接领导责任。</w:t>
      </w:r>
    </w:p>
    <w:p w14:paraId="4F7A615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4．承包人保证执行“谁施工、谁负责”的施工安全原则。</w:t>
      </w:r>
    </w:p>
    <w:p w14:paraId="627B989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5．承包人保证服从发包人对安全工作的统一协调和管理。</w:t>
      </w:r>
    </w:p>
    <w:p w14:paraId="206BE6A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6．承包人保证对本工程项目安全生产条件及其管理资源自行投入，保证安全资金的专款专用。</w:t>
      </w:r>
    </w:p>
    <w:p w14:paraId="58121FD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7．承包人保证建立本工程项目的安全管理体系及安全保证体系（注：项目安全管理大纲/手册、管理性的程序文件等）。</w:t>
      </w:r>
    </w:p>
    <w:p w14:paraId="743E1CA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8．承包人保证现场的安全管理专职人员必须持有建设主管部门安全生产培训考核合格证书。</w:t>
      </w:r>
    </w:p>
    <w:p w14:paraId="7116080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9．承包人保证为现场所有工作人员（含分包商员工及劳务人员）配备符合国家标准的有承包人和/或其下属分包商标志的个人基本劳动保护用品。</w:t>
      </w:r>
    </w:p>
    <w:p w14:paraId="1E700A4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10．承包人保证按照国家法律规定为现场所有工作人员（含分包商员工及劳务人员）购买意外伤害保险。</w:t>
      </w:r>
    </w:p>
    <w:p w14:paraId="08E5AB1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11．承包人保证施工生活营地（包括自建的和租用的营地）满足消防、安全用电、卫生防疫、防暴雨、防雷击等方面的安全要求。</w:t>
      </w:r>
    </w:p>
    <w:p w14:paraId="433E0E4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12．承包人保证对带入现场的设备、工具、材料按照国家法规和标准进行检测、试验，并持有法定部门出具的检验证书。</w:t>
      </w:r>
    </w:p>
    <w:p w14:paraId="75A667F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13．承包人保证制订施工现场的文明施工措施，保护环境、树木和植被，保持施工现场的良好秩序和整洁的作业环境。</w:t>
      </w:r>
    </w:p>
    <w:p w14:paraId="06D8574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14．承包人负责在施工过程中与当地政府、周边群众及其他承包商保持良好的沟通和交流。承包人遇到与周边群众发生纠纷时，应负责协调工作，确保工程能够顺利进行。</w:t>
      </w:r>
    </w:p>
    <w:p w14:paraId="5E8698FD">
      <w:pPr>
        <w:widowControl/>
        <w:spacing w:line="360" w:lineRule="auto"/>
        <w:ind w:firstLine="420" w:firstLineChars="200"/>
        <w:jc w:val="left"/>
        <w:rPr>
          <w:rFonts w:ascii="宋体" w:hAnsi="宋体" w:cs="宋体"/>
          <w:color w:val="auto"/>
          <w:kern w:val="0"/>
          <w:highlight w:val="none"/>
        </w:rPr>
      </w:pPr>
      <w:bookmarkStart w:id="2765" w:name="_Toc247418267"/>
      <w:bookmarkEnd w:id="2765"/>
      <w:bookmarkStart w:id="2766" w:name="_Toc247431427"/>
      <w:bookmarkEnd w:id="2766"/>
      <w:bookmarkStart w:id="2767" w:name="_Toc239510293"/>
      <w:bookmarkEnd w:id="2767"/>
      <w:bookmarkStart w:id="2768" w:name="_Toc532375703"/>
      <w:r>
        <w:rPr>
          <w:rFonts w:hint="eastAsia" w:ascii="宋体" w:hAnsi="宋体" w:cs="宋体"/>
          <w:color w:val="auto"/>
          <w:kern w:val="0"/>
          <w:szCs w:val="21"/>
          <w:highlight w:val="none"/>
          <w:lang w:bidi="ar"/>
        </w:rPr>
        <w:t>四、接口及协调</w:t>
      </w:r>
      <w:bookmarkEnd w:id="2768"/>
    </w:p>
    <w:p w14:paraId="57B88E3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1．发包人委托监理公司对该工程实施监理，监理公司在安全管理方面代表发包人行使监督检查职能，承包人必须给予配合和支持。</w:t>
      </w:r>
    </w:p>
    <w:p w14:paraId="3395FFC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2．承包人人员、车辆的出入，带入现场的设备、机具、材料，在现场使用的或直接管理的办公、生活、生产性设施的安全管理须满足发包人现场管理的基本要求。</w:t>
      </w:r>
    </w:p>
    <w:p w14:paraId="6265910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3．承包人应指定专职安全管理人员与发包人委托的监理公司接口，参与安全协调和管理。安全协调和管理的内容包括职业健康、工业安全、消防安全、卫生防疫、交通安全、环境保护、治安保卫等各方面。</w:t>
      </w:r>
    </w:p>
    <w:p w14:paraId="4908F95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6354DE09">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5．承包人指定的专职安全管理人员应与发包人委托的监理公司建立联系，在业务上接受发包人委托的监理公司的协调和指导。</w:t>
      </w:r>
    </w:p>
    <w:p w14:paraId="6698AE2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6．开工后承包人的专职安全管理人员应按照发包人委托的监理公司的规定，定期报送安全月度快报、季报、年报和各种专项事故报告等。</w:t>
      </w:r>
    </w:p>
    <w:p w14:paraId="7534024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7．在工程实体未全部正式移交发包人施工管理部门之前，承包人依旧对施工范围内的安全管理负责。</w:t>
      </w:r>
    </w:p>
    <w:p w14:paraId="5B02AE65">
      <w:pPr>
        <w:widowControl/>
        <w:spacing w:line="360" w:lineRule="auto"/>
        <w:ind w:firstLine="420" w:firstLineChars="200"/>
        <w:jc w:val="left"/>
        <w:rPr>
          <w:rFonts w:ascii="宋体" w:hAnsi="宋体" w:cs="宋体"/>
          <w:color w:val="auto"/>
          <w:kern w:val="0"/>
          <w:highlight w:val="none"/>
        </w:rPr>
      </w:pPr>
      <w:bookmarkStart w:id="2769" w:name="_Toc239510294"/>
      <w:bookmarkEnd w:id="2769"/>
      <w:bookmarkStart w:id="2770" w:name="_Toc247431428"/>
      <w:bookmarkEnd w:id="2770"/>
      <w:bookmarkStart w:id="2771" w:name="_Toc247418268"/>
      <w:bookmarkEnd w:id="2771"/>
      <w:bookmarkStart w:id="2772" w:name="_Toc532375704"/>
      <w:r>
        <w:rPr>
          <w:rFonts w:hint="eastAsia" w:ascii="宋体" w:hAnsi="宋体" w:cs="宋体"/>
          <w:color w:val="auto"/>
          <w:kern w:val="0"/>
          <w:szCs w:val="21"/>
          <w:highlight w:val="none"/>
          <w:lang w:bidi="ar"/>
        </w:rPr>
        <w:t>五、安全资质审查</w:t>
      </w:r>
      <w:bookmarkEnd w:id="2772"/>
    </w:p>
    <w:p w14:paraId="6C10270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承包人在项目开工前5个工作天内向发包人委托的监理公司提供以下安全资质供审查和存档：</w:t>
      </w:r>
    </w:p>
    <w:p w14:paraId="4124144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1．企业安全生产许可证书复印件。</w:t>
      </w:r>
    </w:p>
    <w:p w14:paraId="37D17AD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2．企业近三年的施工简历及安全施工业绩证明文件。</w:t>
      </w:r>
    </w:p>
    <w:p w14:paraId="55B57CF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3．企业主要安全管理人员（包括项目经理、专职安全管理人员）经建设主管部门安全生产知识考核合格证书。</w:t>
      </w:r>
    </w:p>
    <w:p w14:paraId="3F1A956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4．特种作业人员资格证书。</w:t>
      </w:r>
    </w:p>
    <w:p w14:paraId="14486EF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5．项目安全管理机构及其人员配备（承包人必须配有专职的安全员）。</w:t>
      </w:r>
    </w:p>
    <w:p w14:paraId="0458300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6．适用于项目的安全管理体系及保证体系文件（安全管理大纲及管理程序文件）。</w:t>
      </w:r>
    </w:p>
    <w:p w14:paraId="3F9752B5">
      <w:pPr>
        <w:widowControl/>
        <w:spacing w:line="360" w:lineRule="auto"/>
        <w:ind w:firstLine="420" w:firstLineChars="200"/>
        <w:jc w:val="left"/>
        <w:rPr>
          <w:rFonts w:ascii="宋体" w:hAnsi="宋体" w:cs="宋体"/>
          <w:color w:val="auto"/>
          <w:kern w:val="0"/>
          <w:highlight w:val="none"/>
        </w:rPr>
      </w:pPr>
      <w:bookmarkStart w:id="2773" w:name="_Toc247418269"/>
      <w:bookmarkEnd w:id="2773"/>
      <w:bookmarkStart w:id="2774" w:name="_Toc239510295"/>
      <w:bookmarkEnd w:id="2774"/>
      <w:bookmarkStart w:id="2775" w:name="_Toc247431429"/>
      <w:bookmarkEnd w:id="2775"/>
      <w:bookmarkStart w:id="2776" w:name="_Toc532375705"/>
      <w:r>
        <w:rPr>
          <w:rFonts w:hint="eastAsia" w:ascii="宋体" w:hAnsi="宋体" w:cs="宋体"/>
          <w:color w:val="auto"/>
          <w:kern w:val="0"/>
          <w:szCs w:val="21"/>
          <w:highlight w:val="none"/>
          <w:lang w:bidi="ar"/>
        </w:rPr>
        <w:t>六、人员基本素质</w:t>
      </w:r>
      <w:bookmarkEnd w:id="2776"/>
    </w:p>
    <w:p w14:paraId="57617B5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承包人提供的人员必须满足下列要求：</w:t>
      </w:r>
    </w:p>
    <w:p w14:paraId="61B086A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7966C14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2．无刑事案件牵连。</w:t>
      </w:r>
    </w:p>
    <w:p w14:paraId="7D386101">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3．无吸毒、酗酒、赌博、嫖娼等恶习及违法行为。</w:t>
      </w:r>
    </w:p>
    <w:p w14:paraId="7FD96658">
      <w:pPr>
        <w:widowControl/>
        <w:spacing w:line="360" w:lineRule="auto"/>
        <w:ind w:firstLine="420" w:firstLineChars="200"/>
        <w:jc w:val="left"/>
        <w:rPr>
          <w:rFonts w:ascii="宋体" w:hAnsi="宋体" w:cs="宋体"/>
          <w:color w:val="auto"/>
          <w:kern w:val="0"/>
          <w:highlight w:val="none"/>
        </w:rPr>
      </w:pPr>
      <w:bookmarkStart w:id="2777" w:name="_Toc247418270"/>
      <w:bookmarkEnd w:id="2777"/>
      <w:bookmarkStart w:id="2778" w:name="_Toc247431430"/>
      <w:bookmarkEnd w:id="2778"/>
      <w:bookmarkStart w:id="2779" w:name="_Toc532375706"/>
      <w:bookmarkEnd w:id="2779"/>
      <w:bookmarkStart w:id="2780" w:name="_Toc239510296"/>
      <w:r>
        <w:rPr>
          <w:rFonts w:hint="eastAsia" w:ascii="宋体" w:hAnsi="宋体" w:cs="宋体"/>
          <w:color w:val="auto"/>
          <w:kern w:val="0"/>
          <w:szCs w:val="21"/>
          <w:highlight w:val="none"/>
          <w:lang w:bidi="ar"/>
        </w:rPr>
        <w:t>七、劳动保护</w:t>
      </w:r>
      <w:bookmarkEnd w:id="2780"/>
    </w:p>
    <w:p w14:paraId="6D76CE3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1．承包人负责为本单位任何用工形式的员工提供个人劳动保护用品（包括工作服、安全帽、安全鞋等）。</w:t>
      </w:r>
    </w:p>
    <w:p w14:paraId="5188744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2．承包人负责向特殊工种的员工提供特殊劳动保护，否则不得从事特殊工种作业。</w:t>
      </w:r>
    </w:p>
    <w:p w14:paraId="5174DB3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3．发包人委托的监理公司有权检查承包人的个人劳动保护用品是否符合国家的相应标准。</w:t>
      </w:r>
    </w:p>
    <w:p w14:paraId="1D7AF7F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 承包人在特殊风险场所作业而需要特殊防护用品或安全仪表时，必须在上述防护用品全部到位后才能开工。</w:t>
      </w:r>
    </w:p>
    <w:p w14:paraId="4EF8FC6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5．承包人应配备临时安全围栏、警示带、警告标志、防火布等集体防护用品。</w:t>
      </w:r>
    </w:p>
    <w:p w14:paraId="3B1DFDDB">
      <w:pPr>
        <w:widowControl/>
        <w:spacing w:line="360" w:lineRule="auto"/>
        <w:ind w:firstLine="420" w:firstLineChars="200"/>
        <w:jc w:val="left"/>
        <w:rPr>
          <w:rFonts w:ascii="宋体" w:hAnsi="宋体" w:cs="宋体"/>
          <w:color w:val="auto"/>
          <w:kern w:val="0"/>
          <w:highlight w:val="none"/>
        </w:rPr>
      </w:pPr>
      <w:bookmarkStart w:id="2781" w:name="_Toc239510297"/>
      <w:bookmarkEnd w:id="2781"/>
      <w:bookmarkStart w:id="2782" w:name="_Toc247431431"/>
      <w:bookmarkEnd w:id="2782"/>
      <w:bookmarkStart w:id="2783" w:name="_Toc247418271"/>
      <w:bookmarkEnd w:id="2783"/>
      <w:bookmarkStart w:id="2784" w:name="_Toc532375707"/>
      <w:r>
        <w:rPr>
          <w:rFonts w:hint="eastAsia" w:ascii="宋体" w:hAnsi="宋体" w:cs="宋体"/>
          <w:color w:val="auto"/>
          <w:kern w:val="0"/>
          <w:szCs w:val="21"/>
          <w:highlight w:val="none"/>
          <w:lang w:bidi="ar"/>
        </w:rPr>
        <w:t>八、施工机具与材料</w:t>
      </w:r>
      <w:bookmarkEnd w:id="2784"/>
    </w:p>
    <w:p w14:paraId="2C6F936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1．承包人对带入现场的施工机械和工器具的安全负责。</w:t>
      </w:r>
    </w:p>
    <w:p w14:paraId="596A5AB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2．对于承包人带入现场的特殊工器具，如起重设备、索具、机动车辆、压缩气瓶等，承包人必须按国家法规和标准进行检测、试验，并持有法定部门出具的检验证书。</w:t>
      </w:r>
    </w:p>
    <w:p w14:paraId="3AAFFD4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3．对于不属于法定检测的工器具，承包人也必须建立相应的管理、检测制度，这些工器具包括登高工具、脚手架材料、电动工具、安全防护设备及用具等。</w:t>
      </w:r>
    </w:p>
    <w:p w14:paraId="65D50D5F">
      <w:pPr>
        <w:widowControl/>
        <w:spacing w:line="360" w:lineRule="auto"/>
        <w:ind w:firstLine="420" w:firstLineChars="200"/>
        <w:jc w:val="left"/>
        <w:rPr>
          <w:rFonts w:ascii="宋体" w:hAnsi="宋体" w:cs="宋体"/>
          <w:color w:val="auto"/>
          <w:kern w:val="0"/>
          <w:highlight w:val="none"/>
        </w:rPr>
      </w:pPr>
      <w:bookmarkStart w:id="2785" w:name="_Toc247431432"/>
      <w:bookmarkEnd w:id="2785"/>
      <w:bookmarkStart w:id="2786" w:name="_Toc239510298"/>
      <w:bookmarkEnd w:id="2786"/>
      <w:bookmarkStart w:id="2787" w:name="_Toc247418272"/>
      <w:bookmarkEnd w:id="2787"/>
      <w:bookmarkStart w:id="2788" w:name="_Toc532375708"/>
      <w:r>
        <w:rPr>
          <w:rFonts w:hint="eastAsia" w:ascii="宋体" w:hAnsi="宋体" w:cs="宋体"/>
          <w:color w:val="auto"/>
          <w:kern w:val="0"/>
          <w:szCs w:val="21"/>
          <w:highlight w:val="none"/>
          <w:lang w:bidi="ar"/>
        </w:rPr>
        <w:t>九、开工前安全条件检查</w:t>
      </w:r>
      <w:bookmarkEnd w:id="2788"/>
    </w:p>
    <w:p w14:paraId="384CA126">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6BE7DAB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57E799B1">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3．发包人委托的监理公司检查发现的缺陷，承包人应在规定期限内完成整改。对于重大缺陷，发包人委托的监理公司有权要求承包人推迟开工，由此对工期产生的影响或经济损失，由承包人承担。</w:t>
      </w:r>
    </w:p>
    <w:p w14:paraId="3ABF0584">
      <w:pPr>
        <w:widowControl/>
        <w:spacing w:line="360" w:lineRule="auto"/>
        <w:ind w:firstLine="420" w:firstLineChars="200"/>
        <w:jc w:val="left"/>
        <w:rPr>
          <w:rFonts w:ascii="宋体" w:hAnsi="宋体" w:cs="宋体"/>
          <w:color w:val="auto"/>
          <w:kern w:val="0"/>
          <w:highlight w:val="none"/>
        </w:rPr>
      </w:pPr>
      <w:bookmarkStart w:id="2789" w:name="_Toc247431433"/>
      <w:bookmarkEnd w:id="2789"/>
      <w:bookmarkStart w:id="2790" w:name="_Toc247418273"/>
      <w:bookmarkEnd w:id="2790"/>
      <w:bookmarkStart w:id="2791" w:name="_Toc532375709"/>
      <w:bookmarkEnd w:id="2791"/>
      <w:bookmarkStart w:id="2792" w:name="_Toc239510299"/>
      <w:r>
        <w:rPr>
          <w:rFonts w:hint="eastAsia" w:ascii="宋体" w:hAnsi="宋体" w:cs="宋体"/>
          <w:color w:val="auto"/>
          <w:kern w:val="0"/>
          <w:szCs w:val="21"/>
          <w:highlight w:val="none"/>
          <w:lang w:bidi="ar"/>
        </w:rPr>
        <w:t>十、安全监督</w:t>
      </w:r>
      <w:bookmarkEnd w:id="2792"/>
    </w:p>
    <w:p w14:paraId="038AAD8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1．承包人应配备有满足项目安全管理需要的专职安全管理人员。</w:t>
      </w:r>
    </w:p>
    <w:p w14:paraId="511F4E3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2．承包人的专职安全管理人员必须持建设主管部门颁发的安全生产知识考核合格证书。</w:t>
      </w:r>
    </w:p>
    <w:p w14:paraId="39B09C4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3．承包人的专职安全管理人员在业务上接受发包人委托的监理公司和发包人安全管理部门的协调和指导。</w:t>
      </w:r>
    </w:p>
    <w:p w14:paraId="41EAD23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4．承包人应建立班前安全交底制度；施工期间坚持开展安全检查和日常安全监督并形成相应的记录。</w:t>
      </w:r>
    </w:p>
    <w:p w14:paraId="4348764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5．承包人应在每个作业区任命兼职安全员，赋予兼职安全员相应的授权和义务，并对兼职安全员进行定期考核。</w:t>
      </w:r>
    </w:p>
    <w:p w14:paraId="03CAE5B9">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6．承包人应接受和配合发包人专业部门及委托的监理公司的监督与安全评价。</w:t>
      </w:r>
    </w:p>
    <w:p w14:paraId="09D04B5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644E7B8">
      <w:pPr>
        <w:widowControl/>
        <w:spacing w:line="360" w:lineRule="auto"/>
        <w:ind w:firstLine="420" w:firstLineChars="200"/>
        <w:jc w:val="left"/>
        <w:rPr>
          <w:rFonts w:ascii="宋体" w:hAnsi="宋体" w:cs="宋体"/>
          <w:color w:val="auto"/>
          <w:kern w:val="0"/>
          <w:highlight w:val="none"/>
        </w:rPr>
      </w:pPr>
      <w:bookmarkStart w:id="2793" w:name="_Toc239510300"/>
      <w:bookmarkEnd w:id="2793"/>
      <w:bookmarkStart w:id="2794" w:name="_Toc532375710"/>
      <w:bookmarkEnd w:id="2794"/>
      <w:bookmarkStart w:id="2795" w:name="_Toc247418274"/>
      <w:bookmarkEnd w:id="2795"/>
      <w:bookmarkStart w:id="2796" w:name="_Toc247431434"/>
      <w:r>
        <w:rPr>
          <w:rFonts w:hint="eastAsia" w:ascii="宋体" w:hAnsi="宋体" w:cs="宋体"/>
          <w:color w:val="auto"/>
          <w:kern w:val="0"/>
          <w:szCs w:val="21"/>
          <w:highlight w:val="none"/>
          <w:lang w:bidi="ar"/>
        </w:rPr>
        <w:t>十一、安全培训与授权</w:t>
      </w:r>
      <w:bookmarkEnd w:id="2796"/>
    </w:p>
    <w:p w14:paraId="1C60C989">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1．承包人所有特殊工种人员必须持证上岗，发包人和发包人委托的监理公司有权对其进行抽查。承包人要建立特殊工种定期培训和检查计划，这些工种包括但不限于：机动车驾驶员、焊工、起重工、电工等。</w:t>
      </w:r>
    </w:p>
    <w:p w14:paraId="19F9C49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2．承包人应在特殊工种之外的其他工种中，筛选出高风险工种，并对其开展针对性的专题安全培训。</w:t>
      </w:r>
    </w:p>
    <w:p w14:paraId="3720643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3．承包人应组织 “入场培训”和考核。发包人委托的监理公司有权监督培训、考核情况或组织抽查考核。</w:t>
      </w:r>
    </w:p>
    <w:p w14:paraId="4A2C25D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4．承包人应建立安全培训和考核机制，编制培训教材和培训滚动计划。承包人应组织安全考试/考核，建立培训考核记录，发包人委托的监理公司有权查看这些记录。</w:t>
      </w:r>
    </w:p>
    <w:p w14:paraId="54B1AFB3">
      <w:pPr>
        <w:widowControl/>
        <w:spacing w:line="360" w:lineRule="auto"/>
        <w:ind w:firstLine="420" w:firstLineChars="200"/>
        <w:jc w:val="left"/>
        <w:rPr>
          <w:rFonts w:ascii="宋体" w:hAnsi="宋体" w:cs="宋体"/>
          <w:color w:val="auto"/>
          <w:kern w:val="0"/>
          <w:highlight w:val="none"/>
        </w:rPr>
      </w:pPr>
      <w:bookmarkStart w:id="2797" w:name="_Toc247418275"/>
      <w:bookmarkEnd w:id="2797"/>
      <w:bookmarkStart w:id="2798" w:name="_Toc239510301"/>
      <w:bookmarkEnd w:id="2798"/>
      <w:bookmarkStart w:id="2799" w:name="_Toc247431435"/>
      <w:bookmarkEnd w:id="2799"/>
      <w:bookmarkStart w:id="2800" w:name="_Toc532375711"/>
      <w:r>
        <w:rPr>
          <w:rFonts w:hint="eastAsia" w:ascii="宋体" w:hAnsi="宋体" w:cs="宋体"/>
          <w:color w:val="auto"/>
          <w:kern w:val="0"/>
          <w:szCs w:val="21"/>
          <w:highlight w:val="none"/>
          <w:lang w:bidi="ar"/>
        </w:rPr>
        <w:t>十二、职业健康与卫生防疫</w:t>
      </w:r>
      <w:bookmarkEnd w:id="2800"/>
    </w:p>
    <w:p w14:paraId="380B221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1．承包人应有特殊健康检查制度，预防有禁忌症患者从事有关职业，如恐高症患者不得从事高空作业，患有心血管疾病的人员不得从事繁重的体力劳动，特殊工种人员的体检应符合国家的规定。</w:t>
      </w:r>
    </w:p>
    <w:p w14:paraId="732C1F1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2．承包人应保证卫生防疫基本设施的投入，以满足医疗、急救的要求，建立外部医疗支持渠道。</w:t>
      </w:r>
    </w:p>
    <w:p w14:paraId="19E3C1D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4FEFD3B0">
      <w:pPr>
        <w:widowControl/>
        <w:spacing w:line="360" w:lineRule="auto"/>
        <w:ind w:firstLine="420" w:firstLineChars="200"/>
        <w:jc w:val="left"/>
        <w:rPr>
          <w:rFonts w:ascii="宋体" w:hAnsi="宋体" w:cs="宋体"/>
          <w:color w:val="auto"/>
          <w:kern w:val="0"/>
          <w:highlight w:val="none"/>
        </w:rPr>
      </w:pPr>
      <w:bookmarkStart w:id="2801" w:name="_Toc247418276"/>
      <w:bookmarkEnd w:id="2801"/>
      <w:bookmarkStart w:id="2802" w:name="_Toc532375712"/>
      <w:bookmarkEnd w:id="2802"/>
      <w:bookmarkStart w:id="2803" w:name="_Toc239510302"/>
      <w:bookmarkEnd w:id="2803"/>
      <w:bookmarkStart w:id="2804" w:name="_Toc247431436"/>
      <w:r>
        <w:rPr>
          <w:rFonts w:hint="eastAsia" w:ascii="宋体" w:hAnsi="宋体" w:cs="宋体"/>
          <w:color w:val="auto"/>
          <w:kern w:val="0"/>
          <w:szCs w:val="21"/>
          <w:highlight w:val="none"/>
          <w:lang w:bidi="ar"/>
        </w:rPr>
        <w:t>十三、文明施工与环保要求</w:t>
      </w:r>
      <w:bookmarkEnd w:id="2804"/>
    </w:p>
    <w:p w14:paraId="353787D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1．承包人需制订施工现场的文明施工措施，保持良好的施工现场秩序。施工现场的物料堆放要摆放整齐，安全标志和宣传标志要清楚醒目，废料、废物要分类收集，安全通道要畅通。</w:t>
      </w:r>
    </w:p>
    <w:p w14:paraId="79E2A48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2．承包人作业时应避免建筑材料抛洒、飞扬、流淌；应尽可能降低噪音、震动。</w:t>
      </w:r>
    </w:p>
    <w:p w14:paraId="63D656B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3．承包人应根据实际需要，在施工现场布置临时卫生设施（洗手间、卫生间等），施工作业不破坏环境卫生，不污染现场环境。</w:t>
      </w:r>
    </w:p>
    <w:p w14:paraId="393B193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4．承包人在施工中应充分重视对环境的保护，保护绿色植被，保护古树。施工如需伤害古树，必须报告发包人委托的监理公司，在未得到指令前，禁止擅自伤害古树。</w:t>
      </w:r>
    </w:p>
    <w:p w14:paraId="5224477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2141D4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6．承包人在施工中应禁止向环境，排放工业污水、生活污水、废油或其他有害物质。</w:t>
      </w:r>
    </w:p>
    <w:p w14:paraId="2109C48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71FFADF">
      <w:pPr>
        <w:widowControl/>
        <w:spacing w:line="360" w:lineRule="auto"/>
        <w:ind w:firstLine="420" w:firstLineChars="200"/>
        <w:jc w:val="left"/>
        <w:rPr>
          <w:rFonts w:ascii="宋体" w:hAnsi="宋体" w:cs="宋体"/>
          <w:color w:val="auto"/>
          <w:kern w:val="0"/>
          <w:highlight w:val="none"/>
        </w:rPr>
      </w:pPr>
      <w:bookmarkStart w:id="2805" w:name="_Toc239510303"/>
      <w:bookmarkEnd w:id="2805"/>
      <w:bookmarkStart w:id="2806" w:name="_Toc247431437"/>
      <w:bookmarkEnd w:id="2806"/>
      <w:bookmarkStart w:id="2807" w:name="_Toc247418277"/>
      <w:bookmarkEnd w:id="2807"/>
      <w:bookmarkStart w:id="2808" w:name="_Toc532375713"/>
      <w:r>
        <w:rPr>
          <w:rFonts w:hint="eastAsia" w:ascii="宋体" w:hAnsi="宋体" w:cs="宋体"/>
          <w:color w:val="auto"/>
          <w:kern w:val="0"/>
          <w:szCs w:val="21"/>
          <w:highlight w:val="none"/>
          <w:lang w:bidi="ar"/>
        </w:rPr>
        <w:t>十四、工程风险管理与事故预防</w:t>
      </w:r>
      <w:bookmarkEnd w:id="2808"/>
    </w:p>
    <w:p w14:paraId="389DBAA8">
      <w:pPr>
        <w:widowControl/>
        <w:spacing w:line="360" w:lineRule="auto"/>
        <w:ind w:firstLine="420" w:firstLineChars="200"/>
        <w:jc w:val="left"/>
        <w:rPr>
          <w:rFonts w:ascii="宋体" w:hAnsi="宋体" w:cs="宋体"/>
          <w:color w:val="auto"/>
          <w:kern w:val="0"/>
          <w:highlight w:val="none"/>
        </w:rPr>
      </w:pPr>
      <w:bookmarkStart w:id="2809" w:name="_Toc247418278"/>
      <w:bookmarkEnd w:id="2809"/>
      <w:bookmarkStart w:id="2810" w:name="_Toc247431438"/>
      <w:bookmarkEnd w:id="2810"/>
      <w:bookmarkStart w:id="2811" w:name="_Toc239510304"/>
      <w:r>
        <w:rPr>
          <w:rFonts w:hint="eastAsia" w:ascii="宋体" w:hAnsi="宋体" w:cs="宋体"/>
          <w:color w:val="auto"/>
          <w:kern w:val="0"/>
          <w:szCs w:val="21"/>
          <w:highlight w:val="none"/>
          <w:lang w:bidi="ar"/>
        </w:rPr>
        <w:t>（一）基本要求</w:t>
      </w:r>
      <w:bookmarkEnd w:id="2811"/>
    </w:p>
    <w:p w14:paraId="6C84049A">
      <w:pPr>
        <w:widowControl/>
        <w:spacing w:line="360" w:lineRule="auto"/>
        <w:ind w:firstLine="420" w:firstLineChars="200"/>
        <w:jc w:val="left"/>
        <w:rPr>
          <w:rFonts w:ascii="宋体" w:hAnsi="宋体" w:cs="宋体"/>
          <w:color w:val="auto"/>
          <w:kern w:val="0"/>
          <w:highlight w:val="none"/>
        </w:rPr>
      </w:pPr>
      <w:bookmarkStart w:id="2812" w:name="_Toc532375714"/>
      <w:bookmarkEnd w:id="2812"/>
      <w:r>
        <w:rPr>
          <w:rFonts w:hint="eastAsia" w:ascii="宋体" w:hAnsi="宋体" w:cs="宋体"/>
          <w:color w:val="auto"/>
          <w:kern w:val="0"/>
          <w:szCs w:val="21"/>
          <w:highlight w:val="none"/>
          <w:lang w:bidi="ar"/>
        </w:rPr>
        <w:t>1．承包人应对施工过程进行全面、深入的危险源识别和风险分析。在施工安全组织设计中提供危险源及重要危险源清单、作业风险分析报告，该报告应包括（但不限于）如下信息：</w:t>
      </w:r>
    </w:p>
    <w:p w14:paraId="195F5A0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（1）高风险作业和工种清单：作业名称、类别和数量、主要事故风险。</w:t>
      </w:r>
    </w:p>
    <w:p w14:paraId="6B4A9BC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（2）施工能源和机械的种类、数量和主要事故风险。</w:t>
      </w:r>
    </w:p>
    <w:p w14:paraId="2DEC9092">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（3）施工作业条件的类型和主要事故风险。</w:t>
      </w:r>
    </w:p>
    <w:p w14:paraId="09013AD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（4）主要工艺过程（或施工活动）的类别及其相关的事故风险。</w:t>
      </w:r>
    </w:p>
    <w:p w14:paraId="59290B6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（5）主要火灾危险（可燃物、点火源）。</w:t>
      </w:r>
    </w:p>
    <w:p w14:paraId="31F2C8A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（6）主要自然灾害（洪水、大风、雷暴、暴雨、地质灾害等）。</w:t>
      </w:r>
    </w:p>
    <w:p w14:paraId="0BF061C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（7）主要环境保护事件（有害垃圾、机械的跑冒滴漏、原材料流失、水土流失等）。</w:t>
      </w:r>
    </w:p>
    <w:p w14:paraId="240928E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（8）其他。</w:t>
      </w:r>
    </w:p>
    <w:p w14:paraId="3280A82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2．承包人应针对识别出的危险源制定有针对性的事故预防措施并确保在施工中得到有效落实。</w:t>
      </w:r>
    </w:p>
    <w:p w14:paraId="4C4D8AF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3．承包人应建立日常施工活动的动态作业风险分析和安全交底制度。该制度应明确规定风险分析的方法、责任和交底的内容、时间及记录。</w:t>
      </w:r>
    </w:p>
    <w:p w14:paraId="5B7E0475">
      <w:pPr>
        <w:widowControl/>
        <w:spacing w:line="360" w:lineRule="auto"/>
        <w:ind w:firstLine="420" w:firstLineChars="200"/>
        <w:jc w:val="left"/>
        <w:rPr>
          <w:rFonts w:ascii="宋体" w:hAnsi="宋体" w:cs="宋体"/>
          <w:color w:val="auto"/>
          <w:kern w:val="0"/>
          <w:highlight w:val="none"/>
        </w:rPr>
      </w:pPr>
      <w:bookmarkStart w:id="2813" w:name="_Toc239510305"/>
      <w:bookmarkEnd w:id="2813"/>
      <w:bookmarkStart w:id="2814" w:name="_Toc247418279"/>
      <w:bookmarkEnd w:id="2814"/>
      <w:bookmarkStart w:id="2815" w:name="_Toc247431439"/>
      <w:r>
        <w:rPr>
          <w:rFonts w:hint="eastAsia" w:ascii="宋体" w:hAnsi="宋体" w:cs="宋体"/>
          <w:color w:val="auto"/>
          <w:kern w:val="0"/>
          <w:szCs w:val="21"/>
          <w:highlight w:val="none"/>
          <w:lang w:bidi="ar"/>
        </w:rPr>
        <w:t>（二）现场作业基本安全条件</w:t>
      </w:r>
      <w:bookmarkEnd w:id="2815"/>
    </w:p>
    <w:p w14:paraId="17217CF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1233305">
      <w:pPr>
        <w:widowControl/>
        <w:spacing w:line="360" w:lineRule="auto"/>
        <w:ind w:firstLine="420" w:firstLineChars="200"/>
        <w:jc w:val="left"/>
        <w:rPr>
          <w:rFonts w:ascii="宋体" w:hAnsi="宋体" w:cs="宋体"/>
          <w:color w:val="auto"/>
          <w:kern w:val="0"/>
          <w:highlight w:val="none"/>
        </w:rPr>
      </w:pPr>
      <w:bookmarkStart w:id="2816" w:name="_Toc247431440"/>
      <w:bookmarkEnd w:id="2816"/>
      <w:bookmarkStart w:id="2817" w:name="_Toc247418280"/>
      <w:bookmarkEnd w:id="2817"/>
      <w:bookmarkStart w:id="2818" w:name="_Toc239510306"/>
      <w:bookmarkEnd w:id="2818"/>
      <w:bookmarkStart w:id="2819" w:name="_Toc532375715"/>
      <w:r>
        <w:rPr>
          <w:rFonts w:hint="eastAsia" w:ascii="宋体" w:hAnsi="宋体" w:cs="宋体"/>
          <w:color w:val="auto"/>
          <w:kern w:val="0"/>
          <w:szCs w:val="21"/>
          <w:highlight w:val="none"/>
          <w:lang w:bidi="ar"/>
        </w:rPr>
        <w:t>十五、事故报告与应急救援</w:t>
      </w:r>
      <w:bookmarkEnd w:id="2819"/>
    </w:p>
    <w:p w14:paraId="65CAC18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1．承包人应制定对于未遂事故及以上级别的安全事件和事故，定期报送安全月度快报、季报、年报和各种专项事故报告等。</w:t>
      </w:r>
    </w:p>
    <w:p w14:paraId="41FC82E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2．承包人应建立安全事故统计记录、未遂事故统计记录、违章统计记录，并根据统计情况进行分析，并就分析结果制定相应的预防措施。</w:t>
      </w:r>
    </w:p>
    <w:p w14:paraId="518B3801">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3．承包人应建立事故应急救援机制，明确事故处置的基本原则，即现场发生事故时，首先抢救生命，向救援组织报警，并采取措施限制事故扩大。</w:t>
      </w:r>
    </w:p>
    <w:p w14:paraId="6D56C3D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4．承包人应建立相应的应急响应组织，以便能迅速处理突发意外。</w:t>
      </w:r>
    </w:p>
    <w:p w14:paraId="02DD1F9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5．承包人应建立专项应急响应预案，包括重大人身伤亡事故的救护预案、火灾响应预案、“四防”预案（防风、防冻、防雷、防暴雨）、重大疫病防护预案、环境污染防护预案、地质灾害防护预案等。</w:t>
      </w:r>
    </w:p>
    <w:p w14:paraId="15EE7306">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6．承包人应对应急预案进行适当演练，保证应急预案的可操作性。</w:t>
      </w:r>
    </w:p>
    <w:p w14:paraId="3F2440B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7．在工地的其他施工单位发生重大事故时，承包人应无条件立即配合、支持事故抢险。</w:t>
      </w:r>
    </w:p>
    <w:p w14:paraId="40ED4AB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8．承包人必须为事故处置支付各项费用，包括受伤者的抚恤、补偿等费用，并按合同要求赔偿对发包人造成的损失。</w:t>
      </w:r>
    </w:p>
    <w:p w14:paraId="1D959DB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9．由于发包人原因而造成的事故，发包人应负责按事故的具体损失情况给予承包人经济赔偿。</w:t>
      </w:r>
    </w:p>
    <w:p w14:paraId="1CFAD121">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10．涉及承包人员工的伤害事故，承包人除要报告发包人委托的监理公司外，还应负责按照国家、行业和本单位上级公司的要求，上报事故。</w:t>
      </w:r>
    </w:p>
    <w:p w14:paraId="14DB64D3">
      <w:pPr>
        <w:widowControl/>
        <w:spacing w:line="360" w:lineRule="auto"/>
        <w:ind w:firstLine="420" w:firstLineChars="200"/>
        <w:jc w:val="left"/>
        <w:rPr>
          <w:rFonts w:ascii="宋体" w:hAnsi="宋体" w:cs="宋体"/>
          <w:color w:val="auto"/>
          <w:kern w:val="0"/>
          <w:highlight w:val="none"/>
        </w:rPr>
      </w:pPr>
      <w:bookmarkStart w:id="2820" w:name="_Toc532375716"/>
      <w:bookmarkEnd w:id="2820"/>
      <w:bookmarkStart w:id="2821" w:name="_Toc247431441"/>
      <w:bookmarkEnd w:id="2821"/>
      <w:bookmarkStart w:id="2822" w:name="_Toc247418281"/>
      <w:bookmarkEnd w:id="2822"/>
      <w:bookmarkStart w:id="2823" w:name="_Toc239510307"/>
      <w:r>
        <w:rPr>
          <w:rFonts w:hint="eastAsia" w:ascii="宋体" w:hAnsi="宋体" w:cs="宋体"/>
          <w:color w:val="auto"/>
          <w:kern w:val="0"/>
          <w:szCs w:val="21"/>
          <w:highlight w:val="none"/>
          <w:lang w:bidi="ar"/>
        </w:rPr>
        <w:t>十六、安全业绩考核</w:t>
      </w:r>
      <w:bookmarkEnd w:id="2823"/>
    </w:p>
    <w:p w14:paraId="2E23DE6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1AF37560">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3BA7AF">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事件类型</w:t>
            </w:r>
          </w:p>
        </w:tc>
        <w:tc>
          <w:tcPr>
            <w:tcW w:w="3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89BA08">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违约金额</w:t>
            </w:r>
          </w:p>
        </w:tc>
      </w:tr>
      <w:tr w14:paraId="40730057">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275122">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较大事故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2F36685D">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签约合同价的0.5‰</w:t>
            </w:r>
          </w:p>
        </w:tc>
      </w:tr>
      <w:tr w14:paraId="01FCCD3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813613">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2CBBADAB">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签约合同价的2‰</w:t>
            </w:r>
          </w:p>
        </w:tc>
      </w:tr>
      <w:tr w14:paraId="626B1025">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1BEE82">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特别重大事故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454F90D2">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签约合同价的4‰</w:t>
            </w:r>
          </w:p>
        </w:tc>
      </w:tr>
    </w:tbl>
    <w:p w14:paraId="119CA36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（1）较大事故，是指造成3人以上10人以下死亡，或者10人以上50人以下重伤，或者1000万元以上5000万元以下直接经济损失的事故；</w:t>
      </w:r>
    </w:p>
    <w:p w14:paraId="67C0319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（2）重大事故，是指造成10人以上30人以下死亡，或者50人以上100人以下重伤，或者5000万元以上1亿元以下直接经济损失的事故；</w:t>
      </w:r>
    </w:p>
    <w:p w14:paraId="5F37FCC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（3）特别重大事故，是指造成30人以上死亡，或者100人以上重伤（包括急性工业中毒，下同），或者1亿元以上直接经济损失的事故；</w:t>
      </w:r>
    </w:p>
    <w:p w14:paraId="3CBD5B7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（4）所称的“以上”包括本数，所称的“以下”不包括本数。</w:t>
      </w:r>
    </w:p>
    <w:p w14:paraId="0293286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（5）如整个施工过程未发生以上安全事故，则给予承包人建安费总额的1‰的安全奖励。</w:t>
      </w:r>
    </w:p>
    <w:p w14:paraId="630FAAB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0D58E9E3">
      <w:pPr>
        <w:widowControl/>
        <w:spacing w:line="360" w:lineRule="auto"/>
        <w:ind w:firstLine="420" w:firstLineChars="200"/>
        <w:jc w:val="left"/>
        <w:rPr>
          <w:rFonts w:ascii="宋体" w:hAnsi="宋体" w:cs="宋体"/>
          <w:color w:val="auto"/>
          <w:kern w:val="0"/>
          <w:highlight w:val="none"/>
        </w:rPr>
      </w:pPr>
      <w:bookmarkStart w:id="2824" w:name="_Toc247418282"/>
      <w:bookmarkEnd w:id="2824"/>
      <w:bookmarkStart w:id="2825" w:name="_Toc532375717"/>
      <w:bookmarkEnd w:id="2825"/>
      <w:bookmarkStart w:id="2826" w:name="_Toc239510308"/>
      <w:bookmarkEnd w:id="2826"/>
      <w:bookmarkStart w:id="2827" w:name="_Toc247431442"/>
      <w:r>
        <w:rPr>
          <w:rFonts w:hint="eastAsia" w:ascii="宋体" w:hAnsi="宋体" w:cs="宋体"/>
          <w:color w:val="auto"/>
          <w:kern w:val="0"/>
          <w:szCs w:val="21"/>
          <w:highlight w:val="none"/>
          <w:lang w:bidi="ar"/>
        </w:rPr>
        <w:t>十七、协议条款的修订</w:t>
      </w:r>
      <w:bookmarkEnd w:id="2827"/>
    </w:p>
    <w:p w14:paraId="093115C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在项目实施过程中，经双方友好协商，本协议的有关条款也可做出相应的修改。</w:t>
      </w:r>
    </w:p>
    <w:p w14:paraId="389129E8">
      <w:pPr>
        <w:widowControl/>
        <w:spacing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本工程安全管理协议，由发包人、承包人双方在施工承包合同签订后7天内共同签署，作为施工合同附件。</w:t>
      </w:r>
    </w:p>
    <w:p w14:paraId="31924568">
      <w:pPr>
        <w:widowControl/>
        <w:spacing w:line="360" w:lineRule="auto"/>
        <w:ind w:firstLine="420" w:firstLineChars="200"/>
        <w:jc w:val="left"/>
        <w:rPr>
          <w:color w:val="auto"/>
          <w:highlight w:val="none"/>
          <w:lang w:bidi="ar"/>
        </w:rPr>
      </w:pPr>
      <w:r>
        <w:rPr>
          <w:rFonts w:hint="eastAsia"/>
          <w:color w:val="auto"/>
          <w:highlight w:val="none"/>
          <w:lang w:bidi="ar"/>
        </w:rPr>
        <w:t>（以下无正文）</w:t>
      </w:r>
    </w:p>
    <w:p w14:paraId="2661FA64">
      <w:pPr>
        <w:pStyle w:val="2"/>
        <w:rPr>
          <w:color w:val="auto"/>
          <w:highlight w:val="none"/>
          <w:lang w:bidi="ar"/>
        </w:rPr>
      </w:pPr>
    </w:p>
    <w:p w14:paraId="3968B4B1">
      <w:pPr>
        <w:pStyle w:val="2"/>
        <w:rPr>
          <w:color w:val="auto"/>
          <w:highlight w:val="none"/>
          <w:lang w:bidi="ar"/>
        </w:rPr>
      </w:pPr>
    </w:p>
    <w:p w14:paraId="6F553AB6">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发  包  人（公章）：</w:t>
      </w:r>
      <w:r>
        <w:rPr>
          <w:rFonts w:hint="eastAsia" w:ascii="宋体" w:hAnsi="宋体" w:cs="宋体"/>
          <w:color w:val="auto"/>
          <w:kern w:val="0"/>
          <w:szCs w:val="21"/>
          <w:highlight w:val="none"/>
          <w:u w:val="single"/>
          <w:lang w:bidi="ar"/>
        </w:rPr>
        <w:t xml:space="preserve">                       </w:t>
      </w:r>
    </w:p>
    <w:p w14:paraId="6F04CB1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法定代表人（签名）：</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 xml:space="preserve">  </w:t>
      </w:r>
    </w:p>
    <w:p w14:paraId="3DEF719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或其委托代理人（签名）：</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 xml:space="preserve">  </w:t>
      </w:r>
    </w:p>
    <w:p w14:paraId="474358B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230FF1C8">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承  包  人（公章）：</w:t>
      </w:r>
      <w:r>
        <w:rPr>
          <w:rFonts w:hint="eastAsia" w:ascii="宋体" w:hAnsi="宋体" w:cs="宋体"/>
          <w:color w:val="auto"/>
          <w:kern w:val="0"/>
          <w:szCs w:val="21"/>
          <w:highlight w:val="none"/>
          <w:u w:val="single"/>
          <w:lang w:bidi="ar"/>
        </w:rPr>
        <w:t xml:space="preserve">                       </w:t>
      </w:r>
    </w:p>
    <w:p w14:paraId="6B811E7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法定代表人（签名）：</w:t>
      </w:r>
      <w:r>
        <w:rPr>
          <w:rFonts w:hint="eastAsia" w:ascii="宋体" w:hAnsi="宋体" w:cs="宋体"/>
          <w:color w:val="auto"/>
          <w:kern w:val="0"/>
          <w:szCs w:val="21"/>
          <w:highlight w:val="none"/>
          <w:u w:val="single"/>
          <w:lang w:bidi="ar"/>
        </w:rPr>
        <w:t xml:space="preserve">                       </w:t>
      </w:r>
    </w:p>
    <w:p w14:paraId="4D1E0FA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或其委托代理人（签名）：</w:t>
      </w:r>
      <w:r>
        <w:rPr>
          <w:rFonts w:hint="eastAsia" w:ascii="宋体" w:hAnsi="宋体" w:cs="宋体"/>
          <w:color w:val="auto"/>
          <w:kern w:val="0"/>
          <w:szCs w:val="21"/>
          <w:highlight w:val="none"/>
          <w:u w:val="single"/>
          <w:lang w:bidi="ar"/>
        </w:rPr>
        <w:t xml:space="preserve">                   </w:t>
      </w:r>
    </w:p>
    <w:p w14:paraId="44B9B95B">
      <w:pPr>
        <w:widowControl/>
        <w:spacing w:line="360" w:lineRule="auto"/>
        <w:ind w:firstLine="420" w:firstLineChars="200"/>
        <w:jc w:val="left"/>
        <w:rPr>
          <w:rFonts w:ascii="宋体" w:hAnsi="宋体" w:cs="宋体"/>
          <w:color w:val="auto"/>
          <w:kern w:val="0"/>
          <w:highlight w:val="none"/>
        </w:rPr>
      </w:pPr>
      <w:r>
        <w:rPr>
          <w:rFonts w:hint="eastAsia" w:ascii="宋体" w:hAnsi="宋体"/>
          <w:color w:val="auto"/>
          <w:szCs w:val="21"/>
          <w:highlight w:val="none"/>
          <w:lang w:bidi="ar"/>
        </w:rPr>
        <w:br w:type="page"/>
      </w:r>
    </w:p>
    <w:p w14:paraId="48E33B9A">
      <w:pPr>
        <w:keepNext/>
        <w:keepLines/>
        <w:widowControl/>
        <w:wordWrap w:val="0"/>
        <w:topLinePunct/>
        <w:adjustRightInd w:val="0"/>
        <w:snapToGrid w:val="0"/>
        <w:spacing w:after="156" w:afterLines="50" w:line="360" w:lineRule="auto"/>
        <w:jc w:val="center"/>
        <w:outlineLvl w:val="1"/>
        <w:rPr>
          <w:rFonts w:ascii="宋体" w:hAnsi="宋体" w:cs="宋体"/>
          <w:b/>
          <w:color w:val="auto"/>
          <w:kern w:val="0"/>
          <w:highlight w:val="none"/>
        </w:rPr>
      </w:pPr>
      <w:bookmarkStart w:id="2828" w:name="_Toc170932623"/>
      <w:bookmarkStart w:id="2829" w:name="_Toc12137"/>
      <w:r>
        <w:rPr>
          <w:rFonts w:hint="eastAsia" w:ascii="宋体" w:hAnsi="宋体" w:cs="宋体"/>
          <w:b/>
          <w:color w:val="auto"/>
          <w:kern w:val="0"/>
          <w:szCs w:val="21"/>
          <w:highlight w:val="none"/>
          <w:lang w:bidi="ar"/>
        </w:rPr>
        <w:t>附件8 保障建筑工人工资支付协议</w:t>
      </w:r>
      <w:bookmarkEnd w:id="2828"/>
      <w:bookmarkEnd w:id="2829"/>
    </w:p>
    <w:p w14:paraId="1C4FE8E1">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057B40F4">
      <w:pPr>
        <w:widowControl/>
        <w:spacing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发包人（全称）：</w:t>
      </w:r>
      <w:r>
        <w:rPr>
          <w:rFonts w:hint="eastAsia" w:ascii="宋体" w:hAnsi="宋体" w:cs="宋体"/>
          <w:color w:val="auto"/>
          <w:kern w:val="0"/>
          <w:szCs w:val="21"/>
          <w:highlight w:val="none"/>
          <w:u w:val="single"/>
          <w:lang w:bidi="ar"/>
        </w:rPr>
        <w:t xml:space="preserve">                                 </w:t>
      </w:r>
    </w:p>
    <w:p w14:paraId="5088042E">
      <w:pPr>
        <w:widowControl/>
        <w:spacing w:line="360" w:lineRule="auto"/>
        <w:jc w:val="left"/>
        <w:rPr>
          <w:rFonts w:ascii="宋体" w:hAnsi="宋体" w:cs="宋体"/>
          <w:color w:val="auto"/>
          <w:kern w:val="0"/>
          <w:highlight w:val="none"/>
        </w:rPr>
      </w:pPr>
      <w:r>
        <w:rPr>
          <w:rFonts w:hint="eastAsia" w:ascii="宋体" w:hAnsi="宋体" w:cs="宋体"/>
          <w:color w:val="auto"/>
          <w:kern w:val="0"/>
          <w:szCs w:val="21"/>
          <w:highlight w:val="none"/>
          <w:lang w:bidi="ar"/>
        </w:rPr>
        <w:t>承包人（全称）：</w:t>
      </w:r>
      <w:r>
        <w:rPr>
          <w:rFonts w:hint="eastAsia" w:ascii="宋体" w:hAnsi="宋体" w:cs="宋体"/>
          <w:color w:val="auto"/>
          <w:kern w:val="0"/>
          <w:szCs w:val="21"/>
          <w:highlight w:val="none"/>
          <w:u w:val="single"/>
          <w:lang w:bidi="ar"/>
        </w:rPr>
        <w:t xml:space="preserve">                                 </w:t>
      </w:r>
    </w:p>
    <w:p w14:paraId="715C445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为贯彻落实《国务院办公厅关于全面治理拖欠农民工工资问题的意见》（国办发〔2016〕1号），《重庆市人民政府办公厅关于全面治理拖欠农民工工资问题的实施意见》（渝府办发〔2016〕101号），健全预防和解决拖欠建筑工人工资问题的长效机制，切实保障建筑工人劳动报酬权益，维护社会公平正义，促进社会和谐稳定。经甲、乙双方结合实际情况，友好协商，达成如下协议：</w:t>
      </w:r>
    </w:p>
    <w:p w14:paraId="1CB47BF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一、承包人申报工程进度款时，应对上月已支付工程款用于建筑工人工资发放的情况进行说明，并附建筑工人代表按时足额收取了工资的签名确认书。监理单位应对相关情况说明和签名确认书（详附件）进行审查签名后，与工程进度款申报资料一并提交给发包人。发包人审核合格后，才进行当期工程进度款的支付。</w:t>
      </w:r>
    </w:p>
    <w:p w14:paraId="6BF613E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二、由于工程进度款申报和审查需一定时间，其与建筑工人工资发放时间存在一定时间的延后，承包人应具有垫付不低于3个月建筑工人工资能力。承包人在本补充协议签订后申请的第一笔工程进度款时应出具垫付不低于3个月建筑工人工资的书面承诺给发包人。发包人将承包人是否做出承诺作为支付工程进度款的前提条件之一。</w:t>
      </w:r>
    </w:p>
    <w:p w14:paraId="5B63F18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三、承包人每月10日前将本月作业班组、班组人数、建筑工人身份信息等报监理单位，10日～15日分别以作业班组为小组，每小组自行选举产生一名建筑工人代表，监理单位应全程监督，选举结果与当期工程款支付申请一并报送发包人。</w:t>
      </w:r>
    </w:p>
    <w:p w14:paraId="72D6F9F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四、若发现承包人有下列事项的，发包人在支付当期进度款时暂扣当期应支付进度款5%比例的款项。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（一）现场检查发现项目存在拖欠建筑工人工资情况并经核查属实的；</w:t>
      </w:r>
    </w:p>
    <w:p w14:paraId="5C41DC5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（二）相关行政管理部门检查发现存在拖欠建筑工人工资情况并经核查属实的；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（三）有拖欠建筑工人工资投诉事项并经核查属实的。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五、对发现的存在拖欠建筑工人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3D4229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六、本协议经双方法定代表人或委托代理人签名并加盖公章后生效，履行完毕后自然失效。</w:t>
      </w:r>
    </w:p>
    <w:p w14:paraId="41C1521C">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附件：</w:t>
      </w:r>
    </w:p>
    <w:p w14:paraId="5EC03FF9">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1、关于建筑工人工资发放情况的说明表</w:t>
      </w:r>
    </w:p>
    <w:p w14:paraId="188CF42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147E802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（以下无正文）</w:t>
      </w:r>
    </w:p>
    <w:p w14:paraId="1BD4155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44CBC85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发包人：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（发包人）</w:t>
      </w:r>
    </w:p>
    <w:p w14:paraId="09E4DF95">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w:t>
      </w:r>
      <w:r>
        <w:rPr>
          <w:rFonts w:hint="eastAsia" w:ascii="宋体" w:hAnsi="宋体" w:cs="宋体"/>
          <w:color w:val="auto"/>
          <w:kern w:val="0"/>
          <w:szCs w:val="21"/>
          <w:highlight w:val="none"/>
          <w:u w:val="single"/>
          <w:lang w:bidi="ar"/>
        </w:rPr>
        <w:t xml:space="preserve">       </w:t>
      </w:r>
    </w:p>
    <w:p w14:paraId="54F1A767">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或委托代理人：</w:t>
      </w:r>
      <w:r>
        <w:rPr>
          <w:rFonts w:hint="eastAsia" w:ascii="宋体" w:hAnsi="宋体" w:cs="宋体"/>
          <w:color w:val="auto"/>
          <w:kern w:val="0"/>
          <w:szCs w:val="21"/>
          <w:highlight w:val="none"/>
          <w:u w:val="single"/>
          <w:lang w:bidi="ar"/>
        </w:rPr>
        <w:t xml:space="preserve">       </w:t>
      </w:r>
    </w:p>
    <w:p w14:paraId="662D3EF4">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联系人：</w:t>
      </w:r>
      <w:r>
        <w:rPr>
          <w:rFonts w:hint="eastAsia" w:ascii="宋体" w:hAnsi="宋体" w:cs="宋体"/>
          <w:color w:val="auto"/>
          <w:kern w:val="0"/>
          <w:szCs w:val="21"/>
          <w:highlight w:val="none"/>
          <w:u w:val="single"/>
          <w:lang w:bidi="ar"/>
        </w:rPr>
        <w:t xml:space="preserve">       </w:t>
      </w:r>
    </w:p>
    <w:p w14:paraId="1947B0BA">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4F540EE0">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458313CE">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289D7E1F">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承包人：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（承包人）</w:t>
      </w:r>
    </w:p>
    <w:p w14:paraId="2ABAC3A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法定代表人：</w:t>
      </w:r>
      <w:r>
        <w:rPr>
          <w:rFonts w:hint="eastAsia" w:ascii="宋体" w:hAnsi="宋体" w:cs="宋体"/>
          <w:color w:val="auto"/>
          <w:kern w:val="0"/>
          <w:szCs w:val="21"/>
          <w:highlight w:val="none"/>
          <w:u w:val="single"/>
          <w:lang w:bidi="ar"/>
        </w:rPr>
        <w:t xml:space="preserve">       </w:t>
      </w:r>
    </w:p>
    <w:p w14:paraId="269D58BD">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或委托代理人：</w:t>
      </w:r>
      <w:r>
        <w:rPr>
          <w:rFonts w:hint="eastAsia" w:ascii="宋体" w:hAnsi="宋体" w:cs="宋体"/>
          <w:color w:val="auto"/>
          <w:kern w:val="0"/>
          <w:szCs w:val="21"/>
          <w:highlight w:val="none"/>
          <w:u w:val="single"/>
          <w:lang w:bidi="ar"/>
        </w:rPr>
        <w:t xml:space="preserve">       </w:t>
      </w:r>
    </w:p>
    <w:p w14:paraId="2AE003E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lang w:bidi="ar"/>
        </w:rPr>
        <w:t>联系人：</w:t>
      </w:r>
      <w:r>
        <w:rPr>
          <w:rFonts w:hint="eastAsia" w:ascii="宋体" w:hAnsi="宋体" w:cs="宋体"/>
          <w:color w:val="auto"/>
          <w:kern w:val="0"/>
          <w:szCs w:val="21"/>
          <w:highlight w:val="none"/>
          <w:u w:val="single"/>
          <w:lang w:bidi="ar"/>
        </w:rPr>
        <w:t xml:space="preserve">       </w:t>
      </w:r>
    </w:p>
    <w:p w14:paraId="6B944EEE">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1289E158">
      <w:pPr>
        <w:widowControl/>
        <w:jc w:val="left"/>
        <w:rPr>
          <w:rFonts w:ascii="宋体" w:hAnsi="宋体" w:cs="宋体"/>
          <w:color w:val="auto"/>
          <w:kern w:val="0"/>
          <w:highlight w:val="none"/>
        </w:rPr>
      </w:pPr>
      <w:r>
        <w:rPr>
          <w:rFonts w:hint="eastAsia" w:ascii="宋体" w:hAnsi="宋体"/>
          <w:color w:val="auto"/>
          <w:szCs w:val="21"/>
          <w:highlight w:val="none"/>
          <w:lang w:bidi="ar"/>
        </w:rPr>
        <w:br w:type="page"/>
      </w:r>
    </w:p>
    <w:p w14:paraId="59275AF1">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保障建筑工人工资支付协议附件1：</w:t>
      </w:r>
    </w:p>
    <w:p w14:paraId="29DA42AE">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0306ED5F">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关于建筑工人工资发放情况的说明表</w:t>
      </w:r>
    </w:p>
    <w:p w14:paraId="1195037B">
      <w:pPr>
        <w:widowControl/>
        <w:jc w:val="center"/>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0EE2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Borders>
              <w:top w:val="single" w:color="auto" w:sz="4" w:space="0"/>
              <w:left w:val="single" w:color="auto" w:sz="4" w:space="0"/>
              <w:bottom w:val="single" w:color="auto" w:sz="4" w:space="0"/>
              <w:right w:val="single" w:color="auto" w:sz="4" w:space="0"/>
            </w:tcBorders>
            <w:shd w:val="clear" w:color="auto" w:fill="auto"/>
          </w:tcPr>
          <w:p w14:paraId="292A3F85">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工程名称：</w:t>
            </w:r>
          </w:p>
        </w:tc>
      </w:tr>
      <w:tr w14:paraId="4DF4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tcPr>
          <w:p w14:paraId="7DD2AF9F">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施工单位：</w:t>
            </w:r>
          </w:p>
        </w:tc>
        <w:tc>
          <w:tcPr>
            <w:tcW w:w="6201" w:type="dxa"/>
            <w:tcBorders>
              <w:top w:val="single" w:color="auto" w:sz="4" w:space="0"/>
              <w:left w:val="nil"/>
              <w:bottom w:val="single" w:color="auto" w:sz="4" w:space="0"/>
              <w:right w:val="single" w:color="auto" w:sz="4" w:space="0"/>
            </w:tcBorders>
            <w:shd w:val="clear" w:color="auto" w:fill="auto"/>
          </w:tcPr>
          <w:p w14:paraId="18076D0F">
            <w:pPr>
              <w:widowControl/>
              <w:jc w:val="left"/>
              <w:rPr>
                <w:rFonts w:ascii="宋体" w:hAnsi="宋体" w:cs="宋体"/>
                <w:color w:val="auto"/>
                <w:kern w:val="0"/>
                <w:highlight w:val="none"/>
              </w:rPr>
            </w:pPr>
          </w:p>
        </w:tc>
      </w:tr>
      <w:tr w14:paraId="5AE3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Borders>
              <w:top w:val="single" w:color="auto" w:sz="4" w:space="0"/>
              <w:left w:val="single" w:color="auto" w:sz="4" w:space="0"/>
              <w:bottom w:val="single" w:color="auto" w:sz="4" w:space="0"/>
              <w:right w:val="single" w:color="auto" w:sz="4" w:space="0"/>
            </w:tcBorders>
            <w:shd w:val="clear" w:color="auto" w:fill="auto"/>
          </w:tcPr>
          <w:p w14:paraId="3D54E400">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监理单位：</w:t>
            </w:r>
          </w:p>
        </w:tc>
        <w:tc>
          <w:tcPr>
            <w:tcW w:w="6201" w:type="dxa"/>
            <w:tcBorders>
              <w:top w:val="single" w:color="auto" w:sz="4" w:space="0"/>
              <w:left w:val="nil"/>
              <w:bottom w:val="single" w:color="auto" w:sz="4" w:space="0"/>
              <w:right w:val="single" w:color="auto" w:sz="4" w:space="0"/>
            </w:tcBorders>
            <w:shd w:val="clear" w:color="auto" w:fill="auto"/>
          </w:tcPr>
          <w:p w14:paraId="2D426F4F">
            <w:pPr>
              <w:widowControl/>
              <w:jc w:val="left"/>
              <w:rPr>
                <w:rFonts w:ascii="宋体" w:hAnsi="宋体" w:cs="宋体"/>
                <w:color w:val="auto"/>
                <w:kern w:val="0"/>
                <w:highlight w:val="none"/>
              </w:rPr>
            </w:pPr>
          </w:p>
        </w:tc>
      </w:tr>
      <w:tr w14:paraId="1CD9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Borders>
              <w:top w:val="single" w:color="auto" w:sz="4" w:space="0"/>
              <w:left w:val="single" w:color="auto" w:sz="4" w:space="0"/>
              <w:bottom w:val="single" w:color="auto" w:sz="4" w:space="0"/>
              <w:right w:val="single" w:color="auto" w:sz="4" w:space="0"/>
            </w:tcBorders>
            <w:shd w:val="clear" w:color="auto" w:fill="auto"/>
          </w:tcPr>
          <w:p w14:paraId="087F18F8">
            <w:pPr>
              <w:widowControl/>
              <w:jc w:val="left"/>
              <w:rPr>
                <w:rFonts w:ascii="宋体" w:hAnsi="宋体" w:cs="宋体"/>
                <w:color w:val="auto"/>
                <w:kern w:val="0"/>
                <w:highlight w:val="none"/>
                <w:u w:val="single"/>
              </w:rPr>
            </w:pPr>
          </w:p>
          <w:p w14:paraId="115038C5">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（项目业主单位名称）：</w:t>
            </w:r>
            <w:r>
              <w:rPr>
                <w:rFonts w:hint="eastAsia" w:ascii="宋体" w:hAnsi="宋体" w:cs="宋体"/>
                <w:color w:val="auto"/>
                <w:kern w:val="0"/>
                <w:szCs w:val="21"/>
                <w:highlight w:val="none"/>
                <w:u w:val="single"/>
                <w:lang w:bidi="ar"/>
              </w:rPr>
              <w:br w:type="textWrapping"/>
            </w:r>
            <w:r>
              <w:rPr>
                <w:rFonts w:hint="eastAsia" w:ascii="宋体" w:hAnsi="宋体" w:cs="宋体"/>
                <w:color w:val="auto"/>
                <w:kern w:val="0"/>
                <w:szCs w:val="21"/>
                <w:highlight w:val="none"/>
                <w:lang w:bidi="ar"/>
              </w:rPr>
              <w:t xml:space="preserve">    我单位负责承建的（工程名称）无拖欠建筑工人工资的情况</w:t>
            </w:r>
          </w:p>
          <w:p w14:paraId="437F7B35">
            <w:pPr>
              <w:widowControl/>
              <w:jc w:val="left"/>
              <w:rPr>
                <w:rFonts w:ascii="宋体" w:hAnsi="宋体" w:cs="宋体"/>
                <w:color w:val="auto"/>
                <w:kern w:val="0"/>
                <w:highlight w:val="none"/>
                <w:u w:val="single"/>
              </w:rPr>
            </w:pPr>
            <w:r>
              <w:rPr>
                <w:rFonts w:hint="eastAsia" w:ascii="宋体" w:hAnsi="宋体" w:cs="宋体"/>
                <w:color w:val="auto"/>
                <w:kern w:val="0"/>
                <w:szCs w:val="21"/>
                <w:highlight w:val="none"/>
                <w:lang w:bidi="ar"/>
              </w:rPr>
              <w:t>施工单位项目负责人签名（加盖项目章）：</w:t>
            </w:r>
            <w:r>
              <w:rPr>
                <w:rFonts w:hint="eastAsia" w:ascii="宋体" w:hAnsi="宋体" w:cs="宋体"/>
                <w:color w:val="auto"/>
                <w:kern w:val="0"/>
                <w:szCs w:val="21"/>
                <w:highlight w:val="none"/>
                <w:u w:val="single"/>
                <w:lang w:bidi="ar"/>
              </w:rPr>
              <w:t xml:space="preserve">        </w:t>
            </w:r>
          </w:p>
        </w:tc>
      </w:tr>
      <w:tr w14:paraId="49E6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0469B921">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监理单位意见：</w:t>
            </w:r>
          </w:p>
        </w:tc>
        <w:tc>
          <w:tcPr>
            <w:tcW w:w="6201" w:type="dxa"/>
            <w:tcBorders>
              <w:top w:val="single" w:color="auto" w:sz="4" w:space="0"/>
              <w:left w:val="nil"/>
              <w:bottom w:val="single" w:color="auto" w:sz="4" w:space="0"/>
              <w:right w:val="single" w:color="auto" w:sz="4" w:space="0"/>
            </w:tcBorders>
            <w:shd w:val="clear" w:color="auto" w:fill="auto"/>
          </w:tcPr>
          <w:p w14:paraId="27BE668B">
            <w:pPr>
              <w:widowControl/>
              <w:jc w:val="left"/>
              <w:rPr>
                <w:rFonts w:ascii="宋体" w:hAnsi="宋体" w:cs="宋体"/>
                <w:color w:val="auto"/>
                <w:kern w:val="0"/>
                <w:highlight w:val="none"/>
                <w:u w:val="single"/>
              </w:rPr>
            </w:pPr>
          </w:p>
          <w:p w14:paraId="47648F54">
            <w:pPr>
              <w:widowControl/>
              <w:jc w:val="left"/>
              <w:rPr>
                <w:rFonts w:ascii="宋体" w:hAnsi="宋体" w:cs="宋体"/>
                <w:color w:val="auto"/>
                <w:kern w:val="0"/>
                <w:highlight w:val="none"/>
                <w:u w:val="single"/>
              </w:rPr>
            </w:pPr>
            <w:r>
              <w:rPr>
                <w:rFonts w:hint="eastAsia" w:ascii="宋体" w:hAnsi="宋体" w:cs="宋体"/>
                <w:color w:val="auto"/>
                <w:kern w:val="0"/>
                <w:szCs w:val="21"/>
                <w:highlight w:val="none"/>
                <w:lang w:bidi="ar"/>
              </w:rPr>
              <w:t xml:space="preserve">             总监签名并加盖项目章：</w:t>
            </w:r>
            <w:r>
              <w:rPr>
                <w:rFonts w:hint="eastAsia" w:ascii="宋体" w:hAnsi="宋体" w:cs="宋体"/>
                <w:color w:val="auto"/>
                <w:kern w:val="0"/>
                <w:szCs w:val="21"/>
                <w:highlight w:val="none"/>
                <w:u w:val="single"/>
                <w:lang w:bidi="ar"/>
              </w:rPr>
              <w:t xml:space="preserve">        </w:t>
            </w:r>
          </w:p>
        </w:tc>
      </w:tr>
      <w:tr w14:paraId="2294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2AD91053">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工程部项目负责人意见：</w:t>
            </w:r>
          </w:p>
        </w:tc>
        <w:tc>
          <w:tcPr>
            <w:tcW w:w="6201" w:type="dxa"/>
            <w:tcBorders>
              <w:top w:val="single" w:color="auto" w:sz="4" w:space="0"/>
              <w:left w:val="nil"/>
              <w:bottom w:val="single" w:color="auto" w:sz="4" w:space="0"/>
              <w:right w:val="single" w:color="auto" w:sz="4" w:space="0"/>
            </w:tcBorders>
            <w:shd w:val="clear" w:color="auto" w:fill="auto"/>
          </w:tcPr>
          <w:p w14:paraId="7E6608EB">
            <w:pPr>
              <w:widowControl/>
              <w:jc w:val="left"/>
              <w:rPr>
                <w:rFonts w:ascii="宋体" w:hAnsi="宋体" w:cs="宋体"/>
                <w:color w:val="auto"/>
                <w:kern w:val="0"/>
                <w:highlight w:val="none"/>
                <w:u w:val="single"/>
              </w:rPr>
            </w:pPr>
          </w:p>
          <w:p w14:paraId="41AF7F8E">
            <w:pPr>
              <w:widowControl/>
              <w:jc w:val="left"/>
              <w:rPr>
                <w:rFonts w:ascii="宋体" w:hAnsi="宋体" w:cs="宋体"/>
                <w:color w:val="auto"/>
                <w:kern w:val="0"/>
                <w:highlight w:val="none"/>
                <w:u w:val="single"/>
              </w:rPr>
            </w:pPr>
            <w:r>
              <w:rPr>
                <w:rFonts w:hint="eastAsia" w:ascii="宋体" w:hAnsi="宋体" w:cs="宋体"/>
                <w:color w:val="auto"/>
                <w:kern w:val="0"/>
                <w:szCs w:val="21"/>
                <w:highlight w:val="none"/>
                <w:lang w:bidi="ar"/>
              </w:rPr>
              <w:t xml:space="preserve">                   项目负责人签名：</w:t>
            </w:r>
            <w:r>
              <w:rPr>
                <w:rFonts w:hint="eastAsia" w:ascii="宋体" w:hAnsi="宋体" w:cs="宋体"/>
                <w:color w:val="auto"/>
                <w:kern w:val="0"/>
                <w:szCs w:val="21"/>
                <w:highlight w:val="none"/>
                <w:u w:val="single"/>
                <w:lang w:bidi="ar"/>
              </w:rPr>
              <w:t xml:space="preserve">        </w:t>
            </w:r>
          </w:p>
        </w:tc>
      </w:tr>
    </w:tbl>
    <w:p w14:paraId="75D49E05">
      <w:pPr>
        <w:widowControl/>
        <w:jc w:val="left"/>
        <w:rPr>
          <w:rFonts w:ascii="宋体" w:hAnsi="宋体" w:cs="宋体"/>
          <w:color w:val="auto"/>
          <w:kern w:val="0"/>
          <w:highlight w:val="none"/>
        </w:rPr>
      </w:pPr>
      <w:r>
        <w:rPr>
          <w:rFonts w:hint="eastAsia" w:ascii="宋体" w:hAnsi="宋体" w:cs="宋体"/>
          <w:color w:val="auto"/>
          <w:kern w:val="0"/>
          <w:szCs w:val="21"/>
          <w:highlight w:val="none"/>
          <w:lang w:bidi="ar"/>
        </w:rPr>
        <w:t xml:space="preserve"> </w:t>
      </w:r>
    </w:p>
    <w:p w14:paraId="6A3F7C83">
      <w:pPr>
        <w:widowControl/>
        <w:jc w:val="left"/>
        <w:rPr>
          <w:rFonts w:ascii="宋体" w:hAnsi="宋体"/>
          <w:color w:val="auto"/>
          <w:sz w:val="24"/>
          <w:highlight w:val="none"/>
          <w:lang w:bidi="ar"/>
        </w:rPr>
      </w:pPr>
      <w:r>
        <w:rPr>
          <w:rFonts w:hint="eastAsia" w:ascii="宋体" w:hAnsi="宋体"/>
          <w:color w:val="auto"/>
          <w:sz w:val="24"/>
          <w:highlight w:val="none"/>
          <w:lang w:bidi="ar"/>
        </w:rPr>
        <w:t xml:space="preserve"> </w:t>
      </w:r>
      <w:bookmarkEnd w:id="781"/>
    </w:p>
    <w:p w14:paraId="04E5F18D">
      <w:pPr>
        <w:rPr>
          <w:rFonts w:ascii="宋体" w:hAnsi="宋体"/>
          <w:color w:val="auto"/>
          <w:sz w:val="24"/>
          <w:highlight w:val="none"/>
          <w:lang w:bidi="ar"/>
        </w:rPr>
      </w:pPr>
      <w:r>
        <w:rPr>
          <w:rFonts w:hint="eastAsia" w:ascii="宋体" w:hAnsi="宋体"/>
          <w:color w:val="auto"/>
          <w:sz w:val="24"/>
          <w:highlight w:val="none"/>
          <w:lang w:bidi="ar"/>
        </w:rPr>
        <w:br w:type="page"/>
      </w:r>
    </w:p>
    <w:p w14:paraId="33924517">
      <w:pPr>
        <w:keepNext/>
        <w:keepLines/>
        <w:widowControl/>
        <w:wordWrap w:val="0"/>
        <w:topLinePunct/>
        <w:adjustRightInd w:val="0"/>
        <w:snapToGrid w:val="0"/>
        <w:spacing w:after="156" w:afterLines="50" w:line="360" w:lineRule="auto"/>
        <w:jc w:val="center"/>
        <w:outlineLvl w:val="1"/>
        <w:rPr>
          <w:rFonts w:ascii="宋体" w:hAnsi="宋体" w:cs="宋体"/>
          <w:b/>
          <w:color w:val="auto"/>
          <w:kern w:val="0"/>
          <w:szCs w:val="21"/>
          <w:highlight w:val="none"/>
          <w:lang w:bidi="ar"/>
        </w:rPr>
      </w:pPr>
      <w:bookmarkStart w:id="2830" w:name="_Toc2914"/>
      <w:bookmarkStart w:id="2831" w:name="_Toc170932624"/>
      <w:r>
        <w:rPr>
          <w:rFonts w:hint="eastAsia" w:ascii="宋体" w:hAnsi="宋体" w:cs="宋体"/>
          <w:b/>
          <w:color w:val="auto"/>
          <w:kern w:val="0"/>
          <w:szCs w:val="21"/>
          <w:highlight w:val="none"/>
          <w:lang w:bidi="ar"/>
        </w:rPr>
        <w:t>附件9 低价风险担保保函示范文本（独立保函）（如有）</w:t>
      </w:r>
      <w:bookmarkEnd w:id="2830"/>
      <w:bookmarkEnd w:id="2831"/>
    </w:p>
    <w:p w14:paraId="6E3F1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低价风险担保保函示范文本</w:t>
      </w:r>
    </w:p>
    <w:p w14:paraId="6E230D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（独立保函）</w:t>
      </w:r>
    </w:p>
    <w:p w14:paraId="4990406E">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编号：           </w:t>
      </w:r>
    </w:p>
    <w:p w14:paraId="36E9F2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申请人：</w:t>
      </w:r>
    </w:p>
    <w:p w14:paraId="7DFB11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地址：</w:t>
      </w:r>
    </w:p>
    <w:p w14:paraId="4F6A3B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w:t>
      </w:r>
    </w:p>
    <w:p w14:paraId="102D4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地址：</w:t>
      </w:r>
    </w:p>
    <w:p w14:paraId="58A697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开立人：</w:t>
      </w:r>
    </w:p>
    <w:p w14:paraId="46481A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地址：</w:t>
      </w:r>
    </w:p>
    <w:p w14:paraId="18C5D2AB">
      <w:pPr>
        <w:spacing w:line="360" w:lineRule="auto"/>
        <w:ind w:firstLine="420" w:firstLineChars="200"/>
        <w:rPr>
          <w:rFonts w:ascii="宋体" w:hAnsi="宋体" w:cs="宋体"/>
          <w:color w:val="auto"/>
          <w:szCs w:val="21"/>
          <w:highlight w:val="none"/>
        </w:rPr>
      </w:pPr>
    </w:p>
    <w:p w14:paraId="6E5C9C92">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3C63AA7E">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（以下简称“申请人”）于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（项目名称）的投标，收到受益人于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098FD799">
      <w:pPr>
        <w:pStyle w:val="2"/>
        <w:numPr>
          <w:ilvl w:val="0"/>
          <w:numId w:val="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2CAD6F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D50D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三、本保函有效期自开立之日起至合同约定的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613DE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四、我方承诺，在收到受益人发来的书面付款通知后的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工作日内无条件支付，前述书面付款通知即为付款要求之单据，且应满足以下要求：</w:t>
      </w:r>
    </w:p>
    <w:p w14:paraId="789598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3096BE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14:paraId="0F2F98D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（3）载明申请人未按照中标通知书、招标文件和投标文件约定签订合同或违反合同义务的条款和内容；</w:t>
      </w:r>
    </w:p>
    <w:p w14:paraId="7B60E8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（4）付款通知中应声明不存在招标文件约定、合同文件约定或我国法律规定免除申请人或开立人支付责任的情形；</w:t>
      </w:r>
    </w:p>
    <w:p w14:paraId="375B47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675C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受益人发出的书面付款通知应由其为鉴明受益人法定代表人（负责人）或授权代理人签名加盖公章。</w:t>
      </w:r>
    </w:p>
    <w:p w14:paraId="646219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五、本保函项下的权利不得转让，不得设定担保。贵方未经我方书面同意转让本保函或其项下任何权利，对我方不发生法律效力。 </w:t>
      </w:r>
    </w:p>
    <w:p w14:paraId="49B42A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六、与本保函有关的合同不成立、不生效、无效、被撤销、被解除，不影响本保函的独立有效。 </w:t>
      </w:r>
    </w:p>
    <w:p w14:paraId="417B6C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A33C2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CFCE1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九、本保函自我方法定代表人或授权代表签名并加盖公章之日起生效。 </w:t>
      </w:r>
    </w:p>
    <w:p w14:paraId="000AD9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开 立 人：                              （公章） </w:t>
      </w:r>
    </w:p>
    <w:p w14:paraId="19FD4A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法定代表人（或授权代表）：              （签名） </w:t>
      </w:r>
    </w:p>
    <w:p w14:paraId="505C89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地    址：                                       </w:t>
      </w:r>
    </w:p>
    <w:p w14:paraId="1F9359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邮政编码：                 </w:t>
      </w:r>
    </w:p>
    <w:p w14:paraId="63F5D6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    话：                 </w:t>
      </w:r>
    </w:p>
    <w:p w14:paraId="701CA4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传    真：                 </w:t>
      </w:r>
    </w:p>
    <w:p w14:paraId="2F55380B">
      <w:pPr>
        <w:spacing w:line="360" w:lineRule="auto"/>
        <w:ind w:firstLine="420" w:firstLineChars="200"/>
        <w:rPr>
          <w:rFonts w:ascii="宋体" w:hAnsi="宋体" w:cs="宋体"/>
          <w:b/>
          <w:color w:val="auto"/>
          <w:kern w:val="0"/>
          <w:szCs w:val="21"/>
          <w:highlight w:val="none"/>
          <w:lang w:bidi="ar"/>
        </w:rPr>
      </w:pPr>
      <w:r>
        <w:rPr>
          <w:rFonts w:hint="eastAsia" w:ascii="宋体" w:hAnsi="宋体" w:cs="宋体"/>
          <w:color w:val="auto"/>
          <w:szCs w:val="21"/>
          <w:highlight w:val="none"/>
        </w:rPr>
        <w:t>开立时间：      年      月       日</w:t>
      </w:r>
    </w:p>
    <w:p w14:paraId="3A465FC9">
      <w:pPr>
        <w:pStyle w:val="2"/>
        <w:jc w:val="center"/>
        <w:rPr>
          <w:rFonts w:ascii="宋体" w:hAnsi="宋体" w:cs="宋体"/>
          <w:b/>
          <w:color w:val="auto"/>
          <w:kern w:val="0"/>
          <w:szCs w:val="21"/>
          <w:highlight w:val="none"/>
          <w:lang w:bidi="ar"/>
        </w:rPr>
      </w:pPr>
    </w:p>
    <w:p w14:paraId="44AE3867">
      <w:pPr>
        <w:pStyle w:val="2"/>
        <w:rPr>
          <w:rFonts w:ascii="宋体" w:hAnsi="宋体"/>
          <w:color w:val="auto"/>
          <w:sz w:val="24"/>
          <w:highlight w:val="none"/>
        </w:rPr>
      </w:pPr>
    </w:p>
    <w:p w14:paraId="286BBB04">
      <w:pPr>
        <w:rPr>
          <w:rFonts w:ascii="宋体" w:hAnsi="宋体"/>
          <w:color w:val="auto"/>
          <w:sz w:val="24"/>
          <w:highlight w:val="none"/>
        </w:rPr>
      </w:pPr>
      <w:r>
        <w:rPr>
          <w:rFonts w:ascii="宋体" w:hAnsi="宋体"/>
          <w:color w:val="auto"/>
          <w:sz w:val="24"/>
          <w:highlight w:val="none"/>
        </w:rPr>
        <w:br w:type="page"/>
      </w:r>
    </w:p>
    <w:p w14:paraId="5D1CA6B8">
      <w:pPr>
        <w:rPr>
          <w:color w:val="auto"/>
          <w:highlight w:val="none"/>
        </w:rPr>
      </w:pPr>
    </w:p>
    <w:p w14:paraId="003C03E1">
      <w:pPr>
        <w:keepNext/>
        <w:keepLines/>
        <w:widowControl/>
        <w:wordWrap w:val="0"/>
        <w:topLinePunct/>
        <w:adjustRightInd w:val="0"/>
        <w:snapToGrid w:val="0"/>
        <w:spacing w:after="156" w:afterLines="50" w:line="360" w:lineRule="auto"/>
        <w:jc w:val="center"/>
        <w:outlineLvl w:val="1"/>
        <w:rPr>
          <w:rFonts w:ascii="宋体" w:hAnsi="宋体" w:cs="宋体"/>
          <w:b/>
          <w:color w:val="auto"/>
          <w:kern w:val="0"/>
          <w:szCs w:val="21"/>
          <w:highlight w:val="none"/>
          <w:lang w:bidi="ar"/>
        </w:rPr>
      </w:pPr>
      <w:bookmarkStart w:id="2832" w:name="_Toc170932625"/>
      <w:bookmarkStart w:id="2833" w:name="_Toc17483"/>
      <w:r>
        <w:rPr>
          <w:rFonts w:hint="eastAsia" w:ascii="宋体" w:hAnsi="宋体" w:cs="宋体"/>
          <w:b/>
          <w:color w:val="auto"/>
          <w:kern w:val="0"/>
          <w:szCs w:val="21"/>
          <w:highlight w:val="none"/>
          <w:lang w:bidi="ar"/>
        </w:rPr>
        <w:t>附件10 履约担保（如有）</w:t>
      </w:r>
      <w:bookmarkEnd w:id="2832"/>
      <w:bookmarkEnd w:id="2833"/>
    </w:p>
    <w:p w14:paraId="0A1A94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履约保函示范文本</w:t>
      </w:r>
    </w:p>
    <w:p w14:paraId="617D8589">
      <w:pPr>
        <w:spacing w:line="360" w:lineRule="auto"/>
        <w:rPr>
          <w:rFonts w:ascii="宋体" w:hAnsi="宋体" w:cs="宋体"/>
          <w:color w:val="auto"/>
          <w:szCs w:val="21"/>
          <w:highlight w:val="none"/>
        </w:rPr>
      </w:pPr>
    </w:p>
    <w:p w14:paraId="642F41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申请人：</w:t>
      </w:r>
    </w:p>
    <w:p w14:paraId="27B288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5755AA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w:t>
      </w:r>
    </w:p>
    <w:p w14:paraId="3D0C77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7E50E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开立人：</w:t>
      </w:r>
    </w:p>
    <w:p w14:paraId="1C30BA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0B1D16D4">
      <w:pPr>
        <w:spacing w:line="360" w:lineRule="auto"/>
        <w:rPr>
          <w:rFonts w:ascii="宋体" w:hAnsi="宋体" w:cs="宋体"/>
          <w:color w:val="auto"/>
          <w:szCs w:val="21"/>
          <w:highlight w:val="none"/>
        </w:rPr>
      </w:pPr>
    </w:p>
    <w:p w14:paraId="2A17A22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（受益人名称）：</w:t>
      </w:r>
    </w:p>
    <w:p w14:paraId="7948BE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（以下简称“申请人”）就工程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cs="宋体"/>
          <w:color w:val="auto"/>
          <w:szCs w:val="21"/>
          <w:highlight w:val="none"/>
          <w:u w:val="single"/>
        </w:rPr>
        <w:t>《        》</w:t>
      </w:r>
      <w:r>
        <w:rPr>
          <w:rFonts w:hint="eastAsia" w:ascii="宋体" w:hAnsi="宋体" w:cs="宋体"/>
          <w:color w:val="auto"/>
          <w:szCs w:val="21"/>
          <w:highlight w:val="none"/>
        </w:rPr>
        <w:t>（以下简称“基础合同”）约定的义务，向贵方提供不可撤销、不可转让的见索即付保函（以下简称“本保函”）。</w:t>
      </w:r>
    </w:p>
    <w:p w14:paraId="3C0E50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一、本保函担保范围：承包人未按照基础合同的约定履行义务，应当向贵方承担的违约责任和赔偿因此造成的损失、利息、律师费、诉讼费用等实现债权的费用。</w:t>
      </w:r>
    </w:p>
    <w:p w14:paraId="624B6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3C4DF2">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三、</w:t>
      </w:r>
      <w:r>
        <w:rPr>
          <w:rFonts w:hint="eastAsia" w:ascii="宋体" w:hAnsi="宋体" w:cs="宋体"/>
          <w:color w:val="auto"/>
          <w:spacing w:val="6"/>
          <w:szCs w:val="21"/>
          <w:highlight w:val="none"/>
        </w:rPr>
        <w:t>本保函有效期自受益人与申请人签订的合同生效之日</w:t>
      </w:r>
      <w:r>
        <w:rPr>
          <w:rFonts w:hint="eastAsia" w:ascii="宋体" w:hAnsi="宋体" w:cs="宋体"/>
          <w:color w:val="auto"/>
          <w:szCs w:val="21"/>
          <w:highlight w:val="none"/>
        </w:rPr>
        <w:t>起至合同约定的工期截止日后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C475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四、我方承诺，在收到受益人发来的书面索赔通知和本保函原件后的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个工作日内无条件支付至受益人指定账户，前述书面索赔通知即为付款要求之单据，且应满足以下要求：</w:t>
      </w:r>
    </w:p>
    <w:p w14:paraId="0D8C17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（1）索赔通知到达的日期在本保函的有效期内；</w:t>
      </w:r>
    </w:p>
    <w:p w14:paraId="31708E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14:paraId="6E8E33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41B680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5C217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（5）索赔通知应在本保函有效期内到达的地址是：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7193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受益人发出的书面索赔通知应由其为鉴明受益人法定代表人（负责人）或授权代理人签名或盖个人名章并加盖公章。</w:t>
      </w:r>
    </w:p>
    <w:p w14:paraId="4F9DD9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五、本保函项下的权利不得转让，不得设定担保。贵方未经我方书面同意转让本保函或其项下任何权利，对我方不发生法律效力。</w:t>
      </w:r>
    </w:p>
    <w:p w14:paraId="61E798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六、与本保函有关的基础合同不成立、不生效、无效、被撤销、被解除，不影响本保函的独立有效。</w:t>
      </w:r>
    </w:p>
    <w:p w14:paraId="739F4E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2B0433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E167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九、本保函自我方法定代表人或授权代表签名或盖个人名章并加盖公章或合同专用章之日起生效。</w:t>
      </w:r>
    </w:p>
    <w:p w14:paraId="65A576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十、本保函在重庆市辖区范围内的核验地点：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；核验方式：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00290F8">
      <w:pPr>
        <w:spacing w:line="360" w:lineRule="auto"/>
        <w:rPr>
          <w:rFonts w:ascii="宋体" w:hAnsi="宋体" w:cs="宋体"/>
          <w:color w:val="auto"/>
          <w:szCs w:val="21"/>
          <w:highlight w:val="none"/>
        </w:rPr>
      </w:pPr>
    </w:p>
    <w:p w14:paraId="077B6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开 立 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2EC4F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（签名或盖个人名章）</w:t>
      </w:r>
    </w:p>
    <w:p w14:paraId="53CDD751">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7B133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7F17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2D10DE6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E471C1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开立时间：    年    月    日</w:t>
      </w:r>
    </w:p>
    <w:p w14:paraId="744123BA">
      <w:pPr>
        <w:pStyle w:val="2"/>
        <w:rPr>
          <w:rFonts w:ascii="宋体" w:hAnsi="宋体" w:cs="宋体"/>
          <w:color w:val="auto"/>
          <w:szCs w:val="21"/>
          <w:highlight w:val="none"/>
        </w:rPr>
      </w:pPr>
    </w:p>
    <w:p w14:paraId="0B0EDCF9">
      <w:pPr>
        <w:rPr>
          <w:color w:val="auto"/>
          <w:highlight w:val="none"/>
        </w:rPr>
      </w:pPr>
      <w:r>
        <w:rPr>
          <w:rFonts w:hint="eastAsia"/>
          <w:color w:val="auto"/>
          <w:highlight w:val="none"/>
        </w:rPr>
        <w:br w:type="page"/>
      </w:r>
    </w:p>
    <w:p w14:paraId="6B9A6BE7">
      <w:pPr>
        <w:keepNext/>
        <w:keepLines/>
        <w:widowControl/>
        <w:wordWrap w:val="0"/>
        <w:topLinePunct/>
        <w:adjustRightInd w:val="0"/>
        <w:snapToGrid w:val="0"/>
        <w:spacing w:after="156" w:afterLines="50" w:line="360" w:lineRule="auto"/>
        <w:jc w:val="center"/>
        <w:outlineLvl w:val="1"/>
        <w:rPr>
          <w:rFonts w:ascii="宋体" w:hAnsi="宋体" w:cs="宋体"/>
          <w:b/>
          <w:color w:val="auto"/>
          <w:kern w:val="0"/>
          <w:szCs w:val="21"/>
          <w:highlight w:val="none"/>
          <w:lang w:bidi="ar"/>
        </w:rPr>
      </w:pPr>
      <w:bookmarkStart w:id="2834" w:name="_Toc170932626"/>
      <w:bookmarkStart w:id="2835" w:name="_Toc19523"/>
      <w:r>
        <w:rPr>
          <w:rFonts w:hint="eastAsia" w:ascii="宋体" w:hAnsi="宋体" w:cs="宋体"/>
          <w:b/>
          <w:color w:val="auto"/>
          <w:kern w:val="0"/>
          <w:szCs w:val="21"/>
          <w:highlight w:val="none"/>
          <w:lang w:bidi="ar"/>
        </w:rPr>
        <w:t>附件11 质量保证金保函（如有）</w:t>
      </w:r>
      <w:bookmarkEnd w:id="2834"/>
      <w:bookmarkEnd w:id="2835"/>
    </w:p>
    <w:p w14:paraId="55F2CD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工程质量保函示范文本</w:t>
      </w:r>
    </w:p>
    <w:p w14:paraId="23FF05FE">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w:t>
      </w:r>
    </w:p>
    <w:p w14:paraId="74C6ED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申请人：</w:t>
      </w:r>
    </w:p>
    <w:p w14:paraId="7B556F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0F772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w:t>
      </w:r>
    </w:p>
    <w:p w14:paraId="0E44F1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2760C5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开立人：</w:t>
      </w:r>
    </w:p>
    <w:p w14:paraId="23EB14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056EBAA1">
      <w:pPr>
        <w:spacing w:line="360" w:lineRule="auto"/>
        <w:rPr>
          <w:rFonts w:ascii="宋体" w:hAnsi="宋体" w:cs="宋体"/>
          <w:color w:val="auto"/>
          <w:szCs w:val="21"/>
          <w:highlight w:val="none"/>
        </w:rPr>
      </w:pPr>
    </w:p>
    <w:p w14:paraId="5485B39F">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29BA86B6">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工程（以下简称“本工程”）施工和有关事项协商一致共同签订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（合同名称）合同编号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6E260D25">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14:paraId="4452B24C">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56BC34">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三、本保函有效期（保证期间）为以下第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w:t>
      </w:r>
    </w:p>
    <w:p w14:paraId="3061FE21">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（1）本保函有效期至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65AE028">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C957C8">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四、我方承诺，在收到受益人发来的书面索赔通知和本保函原件后的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个工作日内无条件支付至受益人指定账户，前述书面索赔通知即为付款要求之单据，且应满足以下要求：</w:t>
      </w:r>
    </w:p>
    <w:p w14:paraId="4991A481">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（1）索赔通知到达的日期在本保函的有效期内；</w:t>
      </w:r>
    </w:p>
    <w:p w14:paraId="3E292AF2">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14:paraId="21E3C912">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6711848E">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36D86770">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（5）索赔通知应在本保函有效期内到达的地址是：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9B7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受益人发出的书面索赔通知应由其为鉴明受益人法定代表人（负责人）或授权代理人签名或盖个人名章并加盖公章。</w:t>
      </w:r>
    </w:p>
    <w:p w14:paraId="5A79B217">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五、本保函项下的权利不得转让，不得设定担保。贵方未经我方书面同意转让本保函或其项下任何权利，对我方不发生法律效力。</w:t>
      </w:r>
    </w:p>
    <w:p w14:paraId="6D7DC2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六、与本保函有关的合同不成立、不生效、无效、被撤销、被解除，不影响本保函的独立有效。 </w:t>
      </w:r>
    </w:p>
    <w:p w14:paraId="14406C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39E15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CCF8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九、本保函自我方法定代表人或授权代表签名或盖个人名章并加盖公章或合同专用章之日起生效。</w:t>
      </w:r>
    </w:p>
    <w:p w14:paraId="5DE9C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十、本保函在重庆市辖区范围内的核验地点：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；核验方式：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4B9F7D">
      <w:pPr>
        <w:spacing w:line="360" w:lineRule="auto"/>
        <w:ind w:firstLine="420" w:firstLineChars="200"/>
        <w:rPr>
          <w:rFonts w:ascii="宋体" w:hAnsi="宋体" w:cs="宋体"/>
          <w:color w:val="auto"/>
          <w:szCs w:val="21"/>
          <w:highlight w:val="none"/>
        </w:rPr>
      </w:pPr>
    </w:p>
    <w:p w14:paraId="7547EC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开 立 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2DF536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（签名或盖个人名章）</w:t>
      </w:r>
    </w:p>
    <w:p w14:paraId="254CC8BB">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E82AA89">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2E3C14">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5D102FB">
      <w:pPr>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186690D">
      <w:pPr>
        <w:ind w:firstLine="420" w:firstLineChars="200"/>
        <w:rPr>
          <w:rFonts w:ascii="宋体" w:hAnsi="宋体" w:cs="宋体"/>
          <w:color w:val="auto"/>
          <w:szCs w:val="21"/>
          <w:highlight w:val="none"/>
        </w:rPr>
      </w:pPr>
      <w:r>
        <w:rPr>
          <w:rFonts w:hint="eastAsia" w:ascii="宋体" w:hAnsi="宋体" w:cs="宋体"/>
          <w:color w:val="auto"/>
          <w:szCs w:val="21"/>
          <w:highlight w:val="none"/>
        </w:rPr>
        <w:t>开立时间：    年    月    日</w:t>
      </w:r>
    </w:p>
    <w:p w14:paraId="3F621F98">
      <w:pPr>
        <w:ind w:firstLine="480" w:firstLineChars="200"/>
        <w:rPr>
          <w:rFonts w:ascii="宋体" w:hAnsi="宋体"/>
          <w:color w:val="auto"/>
          <w:sz w:val="24"/>
          <w:highlight w:val="none"/>
        </w:rPr>
      </w:pPr>
    </w:p>
    <w:p w14:paraId="0E0D9DF3">
      <w:pPr>
        <w:pStyle w:val="2"/>
        <w:rPr>
          <w:rFonts w:ascii="宋体" w:hAnsi="宋体"/>
          <w:color w:val="auto"/>
          <w:sz w:val="24"/>
          <w:highlight w:val="none"/>
        </w:rPr>
      </w:pPr>
    </w:p>
    <w:p w14:paraId="1C3897D8">
      <w:pPr>
        <w:rPr>
          <w:rFonts w:ascii="宋体" w:hAnsi="宋体"/>
          <w:color w:val="auto"/>
          <w:sz w:val="24"/>
          <w:highlight w:val="none"/>
        </w:rPr>
      </w:pPr>
    </w:p>
    <w:p w14:paraId="60034F73">
      <w:pPr>
        <w:pStyle w:val="2"/>
        <w:rPr>
          <w:rFonts w:ascii="宋体" w:hAnsi="宋体"/>
          <w:color w:val="auto"/>
          <w:sz w:val="24"/>
          <w:highlight w:val="none"/>
        </w:rPr>
      </w:pPr>
    </w:p>
    <w:p w14:paraId="1F2A8A31">
      <w:pPr>
        <w:rPr>
          <w:rFonts w:ascii="宋体" w:hAnsi="宋体"/>
          <w:color w:val="auto"/>
          <w:sz w:val="24"/>
          <w:highlight w:val="none"/>
        </w:rPr>
      </w:pPr>
    </w:p>
    <w:p w14:paraId="5DF45E09">
      <w:pPr>
        <w:pStyle w:val="2"/>
        <w:rPr>
          <w:rFonts w:ascii="宋体" w:hAnsi="宋体"/>
          <w:color w:val="auto"/>
          <w:sz w:val="24"/>
          <w:highlight w:val="none"/>
        </w:rPr>
      </w:pPr>
    </w:p>
    <w:p w14:paraId="6D337F78">
      <w:pPr>
        <w:rPr>
          <w:rFonts w:ascii="宋体" w:hAnsi="宋体"/>
          <w:color w:val="auto"/>
          <w:sz w:val="24"/>
          <w:highlight w:val="none"/>
        </w:rPr>
      </w:pPr>
    </w:p>
    <w:p w14:paraId="005D5E5A">
      <w:pPr>
        <w:pStyle w:val="2"/>
        <w:rPr>
          <w:rFonts w:ascii="宋体" w:hAnsi="宋体"/>
          <w:color w:val="auto"/>
          <w:sz w:val="24"/>
          <w:highlight w:val="none"/>
        </w:rPr>
      </w:pPr>
    </w:p>
    <w:p w14:paraId="779B13D8">
      <w:pPr>
        <w:rPr>
          <w:rFonts w:ascii="宋体" w:hAnsi="宋体"/>
          <w:color w:val="auto"/>
          <w:sz w:val="24"/>
          <w:highlight w:val="none"/>
        </w:rPr>
      </w:pPr>
    </w:p>
    <w:p w14:paraId="29CA5AE1">
      <w:pPr>
        <w:pStyle w:val="2"/>
        <w:rPr>
          <w:rFonts w:ascii="宋体" w:hAnsi="宋体"/>
          <w:color w:val="auto"/>
          <w:sz w:val="24"/>
          <w:highlight w:val="none"/>
        </w:rPr>
      </w:pPr>
    </w:p>
    <w:p w14:paraId="19826C1B">
      <w:pPr>
        <w:rPr>
          <w:rFonts w:ascii="宋体" w:hAnsi="宋体"/>
          <w:color w:val="auto"/>
          <w:sz w:val="24"/>
          <w:highlight w:val="none"/>
        </w:rPr>
      </w:pPr>
    </w:p>
    <w:p w14:paraId="06511EBA">
      <w:pPr>
        <w:pStyle w:val="2"/>
        <w:rPr>
          <w:rFonts w:ascii="宋体" w:hAnsi="宋体"/>
          <w:color w:val="auto"/>
          <w:sz w:val="24"/>
          <w:highlight w:val="none"/>
        </w:rPr>
      </w:pPr>
    </w:p>
    <w:p w14:paraId="029FAF44">
      <w:pPr>
        <w:rPr>
          <w:rFonts w:ascii="宋体" w:hAnsi="宋体"/>
          <w:color w:val="auto"/>
          <w:sz w:val="24"/>
          <w:highlight w:val="none"/>
        </w:rPr>
      </w:pPr>
    </w:p>
    <w:p w14:paraId="230AE28F">
      <w:pPr>
        <w:pStyle w:val="2"/>
        <w:rPr>
          <w:color w:val="auto"/>
          <w:highlight w:val="none"/>
        </w:rPr>
      </w:pPr>
    </w:p>
    <w:p w14:paraId="4DAA4304">
      <w:pPr>
        <w:pStyle w:val="2"/>
        <w:rPr>
          <w:color w:val="auto"/>
          <w:highlight w:val="none"/>
        </w:rPr>
      </w:pPr>
    </w:p>
    <w:p w14:paraId="1B39020A">
      <w:pPr>
        <w:pStyle w:val="3"/>
        <w:spacing w:before="0" w:after="0" w:line="360" w:lineRule="auto"/>
        <w:jc w:val="center"/>
        <w:rPr>
          <w:rFonts w:ascii="宋体" w:hAnsi="宋体"/>
          <w:color w:val="auto"/>
          <w:highlight w:val="none"/>
        </w:rPr>
      </w:pPr>
      <w:bookmarkStart w:id="2836" w:name="_Toc509218843"/>
      <w:bookmarkStart w:id="2837" w:name="_Toc430530513"/>
      <w:bookmarkStart w:id="2838" w:name="_Toc287607855"/>
      <w:bookmarkStart w:id="2839" w:name="_Toc287620797"/>
      <w:bookmarkStart w:id="2840" w:name="_Toc4277"/>
      <w:bookmarkStart w:id="2841" w:name="_Toc16194"/>
      <w:bookmarkStart w:id="2842" w:name="_Toc534185822"/>
      <w:r>
        <w:rPr>
          <w:rFonts w:hint="eastAsia" w:ascii="宋体" w:hAnsi="宋体"/>
          <w:color w:val="auto"/>
          <w:highlight w:val="none"/>
        </w:rPr>
        <w:t>第五章  工程量清单</w:t>
      </w:r>
      <w:bookmarkEnd w:id="2836"/>
      <w:bookmarkEnd w:id="2837"/>
      <w:bookmarkEnd w:id="2838"/>
      <w:bookmarkEnd w:id="2839"/>
      <w:bookmarkEnd w:id="2840"/>
      <w:bookmarkEnd w:id="2841"/>
      <w:bookmarkEnd w:id="2842"/>
      <w:bookmarkStart w:id="2843" w:name="招标文件05章工程量清单01"/>
      <w:bookmarkEnd w:id="2843"/>
      <w:bookmarkStart w:id="2844" w:name="_Toc287607856"/>
      <w:bookmarkStart w:id="2845" w:name="_Toc224103477"/>
      <w:bookmarkStart w:id="2846" w:name="_Toc430530514"/>
      <w:bookmarkStart w:id="2847" w:name="_Toc277082638"/>
      <w:bookmarkStart w:id="2848" w:name="_Toc287620798"/>
    </w:p>
    <w:bookmarkEnd w:id="2844"/>
    <w:bookmarkEnd w:id="2845"/>
    <w:bookmarkEnd w:id="2846"/>
    <w:bookmarkEnd w:id="2847"/>
    <w:bookmarkEnd w:id="2848"/>
    <w:p w14:paraId="6FE07CCB">
      <w:pPr>
        <w:snapToGrid w:val="0"/>
        <w:spacing w:line="360" w:lineRule="auto"/>
        <w:jc w:val="center"/>
        <w:rPr>
          <w:rFonts w:ascii="宋体" w:hAnsi="宋体"/>
          <w:color w:val="auto"/>
          <w:sz w:val="24"/>
          <w:highlight w:val="none"/>
        </w:rPr>
      </w:pPr>
      <w:r>
        <w:rPr>
          <w:rFonts w:hint="eastAsia" w:ascii="宋体" w:hAnsi="宋体"/>
          <w:color w:val="auto"/>
          <w:sz w:val="24"/>
          <w:highlight w:val="none"/>
        </w:rPr>
        <w:t>无</w:t>
      </w:r>
    </w:p>
    <w:p w14:paraId="2008DE60">
      <w:pPr>
        <w:ind w:right="561"/>
        <w:rPr>
          <w:rFonts w:ascii="宋体" w:hAnsi="宋体"/>
          <w:color w:val="auto"/>
          <w:szCs w:val="21"/>
          <w:highlight w:val="none"/>
        </w:rPr>
      </w:pPr>
      <w:r>
        <w:rPr>
          <w:rFonts w:ascii="宋体" w:hAnsi="宋体"/>
          <w:color w:val="auto"/>
          <w:sz w:val="24"/>
          <w:highlight w:val="none"/>
        </w:rPr>
        <w:br w:type="page"/>
      </w:r>
    </w:p>
    <w:p w14:paraId="0AF47237">
      <w:pPr>
        <w:pStyle w:val="3"/>
        <w:spacing w:before="0" w:after="0" w:line="360" w:lineRule="auto"/>
        <w:jc w:val="center"/>
        <w:rPr>
          <w:rFonts w:ascii="宋体" w:hAnsi="宋体"/>
          <w:color w:val="auto"/>
          <w:sz w:val="52"/>
          <w:szCs w:val="52"/>
          <w:highlight w:val="none"/>
        </w:rPr>
      </w:pPr>
      <w:bookmarkStart w:id="2849" w:name="_Toc4355"/>
      <w:bookmarkStart w:id="2850" w:name="_Toc534185823"/>
      <w:bookmarkStart w:id="2851" w:name="_Toc13474"/>
      <w:bookmarkStart w:id="2852" w:name="_Toc509218844"/>
      <w:r>
        <w:rPr>
          <w:rFonts w:ascii="宋体" w:hAnsi="宋体"/>
          <w:color w:val="auto"/>
          <w:sz w:val="52"/>
          <w:szCs w:val="52"/>
          <w:highlight w:val="none"/>
        </w:rPr>
        <w:t>第 二 卷</w:t>
      </w:r>
      <w:bookmarkEnd w:id="2849"/>
      <w:bookmarkEnd w:id="2850"/>
      <w:bookmarkEnd w:id="2851"/>
      <w:bookmarkEnd w:id="2852"/>
    </w:p>
    <w:p w14:paraId="0E03542D">
      <w:pPr>
        <w:spacing w:line="360" w:lineRule="auto"/>
        <w:rPr>
          <w:rFonts w:ascii="宋体" w:hAnsi="宋体"/>
          <w:color w:val="auto"/>
          <w:szCs w:val="20"/>
          <w:highlight w:val="none"/>
        </w:rPr>
      </w:pPr>
      <w:r>
        <w:rPr>
          <w:rFonts w:ascii="宋体" w:hAnsi="宋体"/>
          <w:color w:val="auto"/>
          <w:szCs w:val="20"/>
          <w:highlight w:val="none"/>
        </w:rPr>
        <w:br w:type="page"/>
      </w:r>
    </w:p>
    <w:p w14:paraId="5C4EFAC4">
      <w:pPr>
        <w:pStyle w:val="3"/>
        <w:spacing w:line="360" w:lineRule="auto"/>
        <w:jc w:val="center"/>
        <w:rPr>
          <w:rFonts w:ascii="宋体" w:hAnsi="宋体"/>
          <w:color w:val="auto"/>
          <w:highlight w:val="none"/>
        </w:rPr>
      </w:pPr>
      <w:bookmarkStart w:id="2853" w:name="招标文件06章图纸"/>
      <w:bookmarkEnd w:id="2853"/>
      <w:bookmarkStart w:id="2854" w:name="_Toc287607861"/>
      <w:bookmarkStart w:id="2855" w:name="_Toc534185825"/>
      <w:bookmarkStart w:id="2856" w:name="_Toc509218846"/>
      <w:bookmarkStart w:id="2857" w:name="_Toc430530519"/>
      <w:bookmarkStart w:id="2858" w:name="_Toc287620803"/>
      <w:bookmarkStart w:id="2859" w:name="_Toc16153"/>
      <w:bookmarkStart w:id="2860" w:name="_Toc22154"/>
      <w:r>
        <w:rPr>
          <w:rFonts w:hint="eastAsia" w:ascii="宋体" w:hAnsi="宋体"/>
          <w:color w:val="auto"/>
          <w:highlight w:val="none"/>
        </w:rPr>
        <w:t>第六章  图纸</w:t>
      </w:r>
      <w:bookmarkEnd w:id="2854"/>
      <w:bookmarkEnd w:id="2855"/>
      <w:bookmarkEnd w:id="2856"/>
      <w:bookmarkEnd w:id="2857"/>
      <w:bookmarkEnd w:id="2858"/>
      <w:bookmarkEnd w:id="2859"/>
      <w:bookmarkEnd w:id="2860"/>
    </w:p>
    <w:p w14:paraId="1563599B">
      <w:pPr>
        <w:spacing w:line="360" w:lineRule="auto"/>
        <w:jc w:val="center"/>
        <w:rPr>
          <w:rFonts w:ascii="宋体" w:hAnsi="宋体"/>
          <w:color w:val="auto"/>
          <w:szCs w:val="20"/>
          <w:highlight w:val="none"/>
        </w:rPr>
      </w:pPr>
      <w:r>
        <w:rPr>
          <w:rFonts w:hint="eastAsia" w:ascii="宋体" w:hAnsi="宋体"/>
          <w:color w:val="auto"/>
          <w:szCs w:val="20"/>
          <w:highlight w:val="none"/>
        </w:rPr>
        <w:t>随比选文件一起发出。</w:t>
      </w:r>
    </w:p>
    <w:p w14:paraId="392EB95F">
      <w:pPr>
        <w:spacing w:line="360" w:lineRule="auto"/>
        <w:rPr>
          <w:rFonts w:ascii="宋体" w:hAnsi="宋体"/>
          <w:color w:val="auto"/>
          <w:szCs w:val="20"/>
          <w:highlight w:val="none"/>
        </w:rPr>
      </w:pPr>
      <w:bookmarkStart w:id="2861" w:name="招标文件06章图纸01"/>
      <w:bookmarkEnd w:id="2861"/>
      <w:bookmarkStart w:id="2862" w:name="_Toc287620804"/>
      <w:bookmarkStart w:id="2863" w:name="_Toc430530520"/>
    </w:p>
    <w:bookmarkEnd w:id="2862"/>
    <w:bookmarkEnd w:id="2863"/>
    <w:p w14:paraId="19A7B1BF">
      <w:pPr>
        <w:spacing w:line="360" w:lineRule="auto"/>
        <w:rPr>
          <w:rFonts w:ascii="宋体" w:hAnsi="宋体"/>
          <w:color w:val="auto"/>
          <w:highlight w:val="none"/>
        </w:rPr>
      </w:pPr>
      <w:r>
        <w:rPr>
          <w:rFonts w:ascii="宋体" w:hAnsi="宋体"/>
          <w:color w:val="auto"/>
          <w:szCs w:val="20"/>
          <w:highlight w:val="none"/>
        </w:rPr>
        <w:br w:type="page"/>
      </w:r>
    </w:p>
    <w:p w14:paraId="3ABC63C0">
      <w:pPr>
        <w:pStyle w:val="3"/>
        <w:spacing w:before="0" w:after="0" w:line="360" w:lineRule="auto"/>
        <w:jc w:val="center"/>
        <w:rPr>
          <w:rFonts w:ascii="宋体" w:hAnsi="宋体"/>
          <w:color w:val="auto"/>
          <w:sz w:val="52"/>
          <w:szCs w:val="52"/>
          <w:highlight w:val="none"/>
        </w:rPr>
      </w:pPr>
      <w:bookmarkStart w:id="2864" w:name="_Toc8199"/>
      <w:bookmarkStart w:id="2865" w:name="_Toc8804"/>
      <w:r>
        <w:rPr>
          <w:rFonts w:hint="eastAsia" w:ascii="宋体" w:hAnsi="宋体"/>
          <w:color w:val="auto"/>
          <w:sz w:val="52"/>
          <w:szCs w:val="52"/>
          <w:highlight w:val="none"/>
        </w:rPr>
        <w:t>第 三 卷</w:t>
      </w:r>
      <w:bookmarkEnd w:id="2864"/>
      <w:bookmarkEnd w:id="2865"/>
      <w:bookmarkStart w:id="2866" w:name="_Toc509218847"/>
      <w:bookmarkStart w:id="2867" w:name="_Toc536621880"/>
      <w:bookmarkStart w:id="2868" w:name="_Toc13211764"/>
      <w:bookmarkStart w:id="2869" w:name="_Toc534185826"/>
      <w:bookmarkStart w:id="2870" w:name="_Toc536797255"/>
      <w:bookmarkStart w:id="2871" w:name="_Toc536796986"/>
      <w:bookmarkStart w:id="2872" w:name="_Toc536628344"/>
      <w:bookmarkStart w:id="2873" w:name="_Toc13210772"/>
      <w:bookmarkStart w:id="2874" w:name="_Toc536620100"/>
      <w:bookmarkStart w:id="2875" w:name="_Toc13211206"/>
      <w:bookmarkStart w:id="2876" w:name="_Toc536619968"/>
      <w:bookmarkStart w:id="2877" w:name="_Toc536797121"/>
      <w:bookmarkStart w:id="2878" w:name="_Toc536796850"/>
      <w:bookmarkStart w:id="2879" w:name="_Toc536797390"/>
    </w:p>
    <w:bookmarkEnd w:id="2866"/>
    <w:p w14:paraId="082349B5">
      <w:pPr>
        <w:rPr>
          <w:color w:val="auto"/>
          <w:highlight w:val="none"/>
        </w:rPr>
      </w:pPr>
      <w:r>
        <w:rPr>
          <w:color w:val="auto"/>
          <w:highlight w:val="none"/>
        </w:rPr>
        <w:br w:type="page"/>
      </w:r>
      <w:bookmarkEnd w:id="2867"/>
      <w:bookmarkEnd w:id="2868"/>
      <w:bookmarkEnd w:id="2869"/>
      <w:bookmarkEnd w:id="2870"/>
      <w:bookmarkEnd w:id="2871"/>
      <w:bookmarkEnd w:id="2872"/>
      <w:bookmarkEnd w:id="2873"/>
      <w:bookmarkEnd w:id="2874"/>
      <w:bookmarkEnd w:id="2875"/>
      <w:bookmarkEnd w:id="2876"/>
      <w:bookmarkEnd w:id="2877"/>
      <w:bookmarkEnd w:id="2878"/>
      <w:bookmarkEnd w:id="2879"/>
    </w:p>
    <w:p w14:paraId="787A7620">
      <w:pPr>
        <w:pStyle w:val="3"/>
        <w:spacing w:line="360" w:lineRule="auto"/>
        <w:jc w:val="center"/>
        <w:rPr>
          <w:rFonts w:ascii="宋体" w:hAnsi="宋体"/>
          <w:color w:val="auto"/>
          <w:highlight w:val="none"/>
        </w:rPr>
      </w:pPr>
      <w:bookmarkStart w:id="2880" w:name="招标文件07章技术标准和要求"/>
      <w:bookmarkEnd w:id="2880"/>
      <w:bookmarkStart w:id="2881" w:name="_Toc17170"/>
      <w:bookmarkStart w:id="2882" w:name="_Toc4893"/>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2881"/>
      <w:bookmarkEnd w:id="2882"/>
      <w:bookmarkStart w:id="2883" w:name="招标文件07章技术标准和要求01"/>
      <w:bookmarkEnd w:id="2883"/>
      <w:bookmarkStart w:id="2884" w:name="_Toc430530524"/>
      <w:bookmarkStart w:id="2885" w:name="_Toc287620808"/>
    </w:p>
    <w:bookmarkEnd w:id="2884"/>
    <w:bookmarkEnd w:id="2885"/>
    <w:p w14:paraId="7B4BA611">
      <w:pPr>
        <w:spacing w:line="360" w:lineRule="auto"/>
        <w:rPr>
          <w:rFonts w:ascii="宋体" w:hAnsi="宋体"/>
          <w:color w:val="auto"/>
          <w:highlight w:val="none"/>
        </w:rPr>
      </w:pPr>
      <w:r>
        <w:rPr>
          <w:rFonts w:ascii="宋体" w:hAnsi="宋体"/>
          <w:color w:val="auto"/>
          <w:highlight w:val="none"/>
        </w:rPr>
        <w:br w:type="page"/>
      </w:r>
    </w:p>
    <w:p w14:paraId="28BBB9B3">
      <w:pPr>
        <w:pStyle w:val="3"/>
        <w:spacing w:before="0" w:after="0" w:line="360" w:lineRule="auto"/>
        <w:jc w:val="center"/>
        <w:rPr>
          <w:rFonts w:ascii="宋体" w:hAnsi="宋体"/>
          <w:color w:val="auto"/>
          <w:sz w:val="52"/>
          <w:szCs w:val="52"/>
          <w:highlight w:val="none"/>
        </w:rPr>
      </w:pPr>
      <w:bookmarkStart w:id="2886" w:name="_Toc18822"/>
      <w:bookmarkStart w:id="2887" w:name="_Toc12771"/>
      <w:bookmarkStart w:id="2888" w:name="_Toc509218849"/>
      <w:bookmarkStart w:id="2889" w:name="_Toc534185827"/>
      <w:r>
        <w:rPr>
          <w:rFonts w:ascii="宋体" w:hAnsi="宋体"/>
          <w:color w:val="auto"/>
          <w:sz w:val="52"/>
          <w:szCs w:val="52"/>
          <w:highlight w:val="none"/>
        </w:rPr>
        <w:t>第 四 卷</w:t>
      </w:r>
      <w:bookmarkEnd w:id="2886"/>
      <w:bookmarkEnd w:id="2887"/>
      <w:bookmarkEnd w:id="2888"/>
      <w:bookmarkEnd w:id="2889"/>
      <w:bookmarkStart w:id="2890" w:name="_Toc534185828"/>
      <w:bookmarkStart w:id="2891" w:name="_Toc536797124"/>
      <w:bookmarkStart w:id="2892" w:name="_Toc536797258"/>
      <w:bookmarkStart w:id="2893" w:name="_Toc536628347"/>
      <w:bookmarkStart w:id="2894" w:name="_Toc536620102"/>
      <w:bookmarkStart w:id="2895" w:name="_Toc509218850"/>
      <w:bookmarkStart w:id="2896" w:name="_Toc536796989"/>
      <w:bookmarkStart w:id="2897" w:name="_Toc536619970"/>
      <w:bookmarkStart w:id="2898" w:name="_Toc536796853"/>
      <w:bookmarkStart w:id="2899" w:name="_Toc536621883"/>
      <w:bookmarkStart w:id="2900" w:name="_Toc13211209"/>
      <w:bookmarkStart w:id="2901" w:name="_Toc13210775"/>
      <w:bookmarkStart w:id="2902" w:name="_Toc536797393"/>
      <w:bookmarkStart w:id="2903" w:name="_Toc13211767"/>
    </w:p>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p w14:paraId="216861CD">
      <w:pPr>
        <w:rPr>
          <w:color w:val="auto"/>
          <w:highlight w:val="none"/>
        </w:rPr>
      </w:pPr>
      <w:r>
        <w:rPr>
          <w:color w:val="auto"/>
          <w:highlight w:val="none"/>
        </w:rPr>
        <w:br w:type="page"/>
      </w:r>
      <w:bookmarkStart w:id="2904" w:name="招标文件08章投标文件格式"/>
      <w:bookmarkEnd w:id="2904"/>
      <w:bookmarkStart w:id="2905" w:name="_Toc287620812"/>
      <w:bookmarkStart w:id="2906" w:name="_Toc287607865"/>
    </w:p>
    <w:bookmarkEnd w:id="774"/>
    <w:bookmarkEnd w:id="775"/>
    <w:bookmarkEnd w:id="776"/>
    <w:bookmarkEnd w:id="2905"/>
    <w:bookmarkEnd w:id="2906"/>
    <w:p w14:paraId="48614756">
      <w:pPr>
        <w:pStyle w:val="3"/>
        <w:jc w:val="center"/>
        <w:rPr>
          <w:color w:val="auto"/>
          <w:highlight w:val="none"/>
        </w:rPr>
      </w:pPr>
      <w:bookmarkStart w:id="2907" w:name="_Toc31590"/>
      <w:bookmarkStart w:id="2908" w:name="_Toc12956"/>
      <w:bookmarkStart w:id="2909" w:name="_Toc106"/>
      <w:r>
        <w:rPr>
          <w:rFonts w:hint="eastAsia"/>
          <w:color w:val="auto"/>
          <w:highlight w:val="none"/>
        </w:rPr>
        <w:t>第八章　比选申请文件格式</w:t>
      </w:r>
      <w:bookmarkEnd w:id="2907"/>
      <w:bookmarkEnd w:id="2908"/>
      <w:bookmarkEnd w:id="2909"/>
    </w:p>
    <w:p w14:paraId="7E3DC59A">
      <w:pPr>
        <w:ind w:firstLine="1120" w:firstLineChars="350"/>
        <w:rPr>
          <w:rFonts w:ascii="仿宋_GB2312" w:eastAsia="仿宋_GB2312"/>
          <w:color w:val="auto"/>
          <w:sz w:val="32"/>
          <w:szCs w:val="32"/>
          <w:highlight w:val="none"/>
        </w:rPr>
      </w:pPr>
    </w:p>
    <w:p w14:paraId="5A705618">
      <w:pPr>
        <w:autoSpaceDE w:val="0"/>
        <w:autoSpaceDN w:val="0"/>
        <w:adjustRightInd w:val="0"/>
        <w:spacing w:line="360" w:lineRule="auto"/>
        <w:ind w:right="-20"/>
        <w:jc w:val="left"/>
        <w:rPr>
          <w:rFonts w:ascii="宋体" w:hAnsi="宋体" w:cs="MingLiU"/>
          <w:color w:val="auto"/>
          <w:kern w:val="0"/>
          <w:sz w:val="24"/>
          <w:highlight w:val="none"/>
        </w:rPr>
      </w:pPr>
      <w:r>
        <w:rPr>
          <w:color w:val="auto"/>
          <w:szCs w:val="20"/>
          <w:highlight w:val="none"/>
        </w:rPr>
        <w:br w:type="page"/>
      </w:r>
    </w:p>
    <w:p w14:paraId="2F5B939A">
      <w:pPr>
        <w:pStyle w:val="4"/>
        <w:jc w:val="center"/>
        <w:rPr>
          <w:color w:val="auto"/>
          <w:highlight w:val="none"/>
        </w:rPr>
      </w:pPr>
      <w:bookmarkStart w:id="2910" w:name="_Toc16000470"/>
      <w:bookmarkStart w:id="2911" w:name="_Toc505783797"/>
      <w:bookmarkStart w:id="2912" w:name="_Toc7069"/>
      <w:bookmarkStart w:id="2913" w:name="_Toc505076003"/>
      <w:bookmarkStart w:id="2914" w:name="_Toc224103494"/>
      <w:bookmarkStart w:id="2915" w:name="_Toc287607866"/>
      <w:bookmarkStart w:id="2916" w:name="_Toc7038"/>
      <w:bookmarkStart w:id="2917" w:name="_Toc18754"/>
      <w:bookmarkStart w:id="2918" w:name="_Toc493602574"/>
      <w:bookmarkStart w:id="2919" w:name="_Toc21028"/>
      <w:bookmarkStart w:id="2920" w:name="_Toc277082642"/>
      <w:r>
        <w:rPr>
          <w:rFonts w:hint="eastAsia"/>
          <w:color w:val="auto"/>
          <w:highlight w:val="none"/>
        </w:rPr>
        <w:t>一、比选申请函部分</w:t>
      </w:r>
      <w:bookmarkEnd w:id="2910"/>
      <w:bookmarkEnd w:id="2911"/>
      <w:bookmarkEnd w:id="2912"/>
      <w:bookmarkEnd w:id="2913"/>
      <w:bookmarkEnd w:id="2914"/>
      <w:bookmarkEnd w:id="2915"/>
      <w:bookmarkEnd w:id="2916"/>
      <w:bookmarkEnd w:id="2917"/>
      <w:bookmarkEnd w:id="2918"/>
      <w:bookmarkEnd w:id="2919"/>
      <w:bookmarkEnd w:id="2920"/>
    </w:p>
    <w:p w14:paraId="44E640D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4ADD69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1D37017">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71B30F1">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64CD76EF">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24A3D5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A1521B3">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1759EA4">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6729727A">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8F4991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8E458E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6A8A118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0D90BE41">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C4642E9">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F86F9B3">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7C14AA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5CDCD7E">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82CDDF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25F6071">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E7A6C69">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ACDE738">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62B283D5">
      <w:pPr>
        <w:tabs>
          <w:tab w:val="left" w:pos="2845"/>
          <w:tab w:val="left" w:pos="5940"/>
        </w:tabs>
        <w:autoSpaceDE w:val="0"/>
        <w:autoSpaceDN w:val="0"/>
        <w:adjustRightInd w:val="0"/>
        <w:snapToGrid w:val="0"/>
        <w:spacing w:line="360" w:lineRule="auto"/>
        <w:jc w:val="left"/>
        <w:rPr>
          <w:rFonts w:ascii="宋体" w:hAnsi="宋体" w:cs="MingLiU"/>
          <w:b/>
          <w:color w:val="auto"/>
          <w:kern w:val="0"/>
          <w:sz w:val="28"/>
          <w:szCs w:val="28"/>
          <w:highlight w:val="none"/>
        </w:rPr>
      </w:pPr>
      <w:r>
        <w:rPr>
          <w:rFonts w:ascii="宋体" w:hAnsi="宋体"/>
          <w:b/>
          <w:color w:val="auto"/>
          <w:kern w:val="0"/>
          <w:sz w:val="28"/>
          <w:szCs w:val="28"/>
          <w:highlight w:val="none"/>
          <w:u w:val="single"/>
        </w:rPr>
        <w:br w:type="page"/>
      </w:r>
      <w:r>
        <w:rPr>
          <w:rFonts w:hint="eastAsia" w:ascii="宋体" w:hAnsi="宋体"/>
          <w:b/>
          <w:color w:val="auto"/>
          <w:kern w:val="0"/>
          <w:sz w:val="28"/>
          <w:szCs w:val="28"/>
          <w:highlight w:val="none"/>
          <w:u w:val="single"/>
        </w:rPr>
        <w:tab/>
      </w:r>
      <w:r>
        <w:rPr>
          <w:rFonts w:hint="eastAsia" w:ascii="宋体" w:hAnsi="宋体"/>
          <w:b/>
          <w:color w:val="auto"/>
          <w:kern w:val="0"/>
          <w:sz w:val="28"/>
          <w:szCs w:val="28"/>
          <w:highlight w:val="none"/>
          <w:u w:val="single"/>
          <w:lang w:val="en-US" w:eastAsia="zh-CN"/>
        </w:rPr>
        <w:t xml:space="preserve">                         </w:t>
      </w:r>
      <w:r>
        <w:rPr>
          <w:rFonts w:hint="eastAsia" w:ascii="宋体" w:hAnsi="宋体" w:cs="MingLiU"/>
          <w:b/>
          <w:color w:val="auto"/>
          <w:w w:val="99"/>
          <w:kern w:val="0"/>
          <w:sz w:val="28"/>
          <w:szCs w:val="28"/>
          <w:highlight w:val="none"/>
        </w:rPr>
        <w:t>（项目名称</w:t>
      </w:r>
      <w:r>
        <w:rPr>
          <w:rFonts w:hint="eastAsia" w:ascii="宋体" w:hAnsi="宋体" w:cs="MingLiU"/>
          <w:b/>
          <w:color w:val="auto"/>
          <w:spacing w:val="1"/>
          <w:w w:val="99"/>
          <w:kern w:val="0"/>
          <w:sz w:val="28"/>
          <w:szCs w:val="28"/>
          <w:highlight w:val="none"/>
        </w:rPr>
        <w:t>）</w:t>
      </w:r>
      <w:r>
        <w:rPr>
          <w:rFonts w:hint="eastAsia" w:ascii="宋体" w:hAnsi="宋体" w:cs="MingLiU"/>
          <w:b/>
          <w:color w:val="auto"/>
          <w:w w:val="99"/>
          <w:kern w:val="0"/>
          <w:sz w:val="28"/>
          <w:szCs w:val="28"/>
          <w:highlight w:val="none"/>
        </w:rPr>
        <w:t>施工比选</w:t>
      </w:r>
    </w:p>
    <w:p w14:paraId="4B8D70DB">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42CCD4DC">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6A0B9E34">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比选申请文件</w:t>
      </w:r>
    </w:p>
    <w:p w14:paraId="43830A98">
      <w:pPr>
        <w:autoSpaceDE w:val="0"/>
        <w:autoSpaceDN w:val="0"/>
        <w:adjustRightInd w:val="0"/>
        <w:snapToGrid w:val="0"/>
        <w:spacing w:line="360" w:lineRule="auto"/>
        <w:jc w:val="left"/>
        <w:rPr>
          <w:rFonts w:ascii="宋体" w:hAnsi="宋体" w:cs="MingLiU"/>
          <w:color w:val="auto"/>
          <w:kern w:val="0"/>
          <w:sz w:val="16"/>
          <w:szCs w:val="16"/>
          <w:highlight w:val="none"/>
        </w:rPr>
      </w:pPr>
    </w:p>
    <w:p w14:paraId="10E905B3">
      <w:pPr>
        <w:autoSpaceDE w:val="0"/>
        <w:autoSpaceDN w:val="0"/>
        <w:adjustRightInd w:val="0"/>
        <w:snapToGrid w:val="0"/>
        <w:spacing w:line="360" w:lineRule="auto"/>
        <w:jc w:val="center"/>
        <w:rPr>
          <w:rFonts w:ascii="宋体" w:hAnsi="宋体" w:cs="MingLiU"/>
          <w:b/>
          <w:color w:val="auto"/>
          <w:kern w:val="0"/>
          <w:sz w:val="36"/>
          <w:szCs w:val="36"/>
          <w:highlight w:val="none"/>
        </w:rPr>
      </w:pPr>
      <w:r>
        <w:rPr>
          <w:rFonts w:hint="eastAsia" w:ascii="宋体" w:hAnsi="宋体" w:cs="MingLiU"/>
          <w:b/>
          <w:color w:val="auto"/>
          <w:kern w:val="0"/>
          <w:sz w:val="36"/>
          <w:szCs w:val="36"/>
          <w:highlight w:val="none"/>
        </w:rPr>
        <w:t>比选申请函部分</w:t>
      </w:r>
    </w:p>
    <w:p w14:paraId="3098C7F3">
      <w:pPr>
        <w:autoSpaceDE w:val="0"/>
        <w:autoSpaceDN w:val="0"/>
        <w:adjustRightInd w:val="0"/>
        <w:snapToGrid w:val="0"/>
        <w:spacing w:line="360" w:lineRule="auto"/>
        <w:jc w:val="left"/>
        <w:rPr>
          <w:rFonts w:ascii="宋体" w:hAnsi="宋体" w:cs="MingLiU"/>
          <w:b/>
          <w:color w:val="auto"/>
          <w:kern w:val="0"/>
          <w:sz w:val="20"/>
          <w:szCs w:val="20"/>
          <w:highlight w:val="none"/>
        </w:rPr>
      </w:pPr>
    </w:p>
    <w:p w14:paraId="6FD7CB25">
      <w:pPr>
        <w:autoSpaceDE w:val="0"/>
        <w:autoSpaceDN w:val="0"/>
        <w:adjustRightInd w:val="0"/>
        <w:snapToGrid w:val="0"/>
        <w:spacing w:line="360" w:lineRule="auto"/>
        <w:jc w:val="left"/>
        <w:rPr>
          <w:rFonts w:ascii="宋体" w:hAnsi="宋体" w:cs="MingLiU"/>
          <w:b/>
          <w:color w:val="auto"/>
          <w:kern w:val="0"/>
          <w:sz w:val="20"/>
          <w:szCs w:val="20"/>
          <w:highlight w:val="none"/>
        </w:rPr>
      </w:pPr>
    </w:p>
    <w:p w14:paraId="1A557A01">
      <w:pPr>
        <w:autoSpaceDE w:val="0"/>
        <w:autoSpaceDN w:val="0"/>
        <w:adjustRightInd w:val="0"/>
        <w:snapToGrid w:val="0"/>
        <w:spacing w:line="360" w:lineRule="auto"/>
        <w:jc w:val="left"/>
        <w:rPr>
          <w:rFonts w:ascii="宋体" w:hAnsi="宋体" w:cs="MingLiU"/>
          <w:b/>
          <w:color w:val="auto"/>
          <w:kern w:val="0"/>
          <w:sz w:val="20"/>
          <w:szCs w:val="20"/>
          <w:highlight w:val="none"/>
        </w:rPr>
      </w:pPr>
    </w:p>
    <w:p w14:paraId="5933AA4B">
      <w:pPr>
        <w:autoSpaceDE w:val="0"/>
        <w:autoSpaceDN w:val="0"/>
        <w:adjustRightInd w:val="0"/>
        <w:snapToGrid w:val="0"/>
        <w:spacing w:line="360" w:lineRule="auto"/>
        <w:jc w:val="left"/>
        <w:rPr>
          <w:rFonts w:ascii="宋体" w:hAnsi="宋体" w:cs="MingLiU"/>
          <w:b/>
          <w:color w:val="auto"/>
          <w:kern w:val="0"/>
          <w:sz w:val="20"/>
          <w:szCs w:val="20"/>
          <w:highlight w:val="none"/>
        </w:rPr>
      </w:pPr>
    </w:p>
    <w:p w14:paraId="01B11907">
      <w:pPr>
        <w:autoSpaceDE w:val="0"/>
        <w:autoSpaceDN w:val="0"/>
        <w:adjustRightInd w:val="0"/>
        <w:snapToGrid w:val="0"/>
        <w:spacing w:line="360" w:lineRule="auto"/>
        <w:jc w:val="left"/>
        <w:rPr>
          <w:rFonts w:ascii="宋体" w:hAnsi="宋体" w:cs="MingLiU"/>
          <w:b/>
          <w:color w:val="auto"/>
          <w:kern w:val="0"/>
          <w:sz w:val="20"/>
          <w:szCs w:val="20"/>
          <w:highlight w:val="none"/>
        </w:rPr>
      </w:pPr>
    </w:p>
    <w:p w14:paraId="6AA64592">
      <w:pPr>
        <w:autoSpaceDE w:val="0"/>
        <w:autoSpaceDN w:val="0"/>
        <w:adjustRightInd w:val="0"/>
        <w:snapToGrid w:val="0"/>
        <w:spacing w:line="360" w:lineRule="auto"/>
        <w:jc w:val="left"/>
        <w:rPr>
          <w:rFonts w:ascii="宋体" w:hAnsi="宋体" w:cs="MingLiU"/>
          <w:b/>
          <w:color w:val="auto"/>
          <w:kern w:val="0"/>
          <w:sz w:val="20"/>
          <w:szCs w:val="20"/>
          <w:highlight w:val="none"/>
        </w:rPr>
      </w:pPr>
    </w:p>
    <w:p w14:paraId="43EEE093">
      <w:pPr>
        <w:autoSpaceDE w:val="0"/>
        <w:autoSpaceDN w:val="0"/>
        <w:adjustRightInd w:val="0"/>
        <w:snapToGrid w:val="0"/>
        <w:spacing w:line="360" w:lineRule="auto"/>
        <w:jc w:val="left"/>
        <w:rPr>
          <w:rFonts w:ascii="宋体" w:hAnsi="宋体" w:cs="MingLiU"/>
          <w:b/>
          <w:color w:val="auto"/>
          <w:kern w:val="0"/>
          <w:sz w:val="20"/>
          <w:szCs w:val="20"/>
          <w:highlight w:val="none"/>
        </w:rPr>
      </w:pPr>
    </w:p>
    <w:p w14:paraId="4C93E904">
      <w:pPr>
        <w:autoSpaceDE w:val="0"/>
        <w:autoSpaceDN w:val="0"/>
        <w:adjustRightInd w:val="0"/>
        <w:snapToGrid w:val="0"/>
        <w:spacing w:line="360" w:lineRule="auto"/>
        <w:jc w:val="left"/>
        <w:rPr>
          <w:rFonts w:ascii="宋体" w:hAnsi="宋体" w:cs="MingLiU"/>
          <w:b/>
          <w:color w:val="auto"/>
          <w:kern w:val="0"/>
          <w:sz w:val="20"/>
          <w:szCs w:val="20"/>
          <w:highlight w:val="none"/>
        </w:rPr>
      </w:pPr>
    </w:p>
    <w:p w14:paraId="251BE71F">
      <w:pPr>
        <w:autoSpaceDE w:val="0"/>
        <w:autoSpaceDN w:val="0"/>
        <w:adjustRightInd w:val="0"/>
        <w:snapToGrid w:val="0"/>
        <w:spacing w:line="360" w:lineRule="auto"/>
        <w:jc w:val="left"/>
        <w:rPr>
          <w:rFonts w:ascii="宋体" w:hAnsi="宋体" w:cs="MingLiU"/>
          <w:b/>
          <w:color w:val="auto"/>
          <w:kern w:val="0"/>
          <w:sz w:val="20"/>
          <w:szCs w:val="20"/>
          <w:highlight w:val="none"/>
        </w:rPr>
      </w:pPr>
    </w:p>
    <w:p w14:paraId="3ED1185E">
      <w:pPr>
        <w:autoSpaceDE w:val="0"/>
        <w:autoSpaceDN w:val="0"/>
        <w:adjustRightInd w:val="0"/>
        <w:snapToGrid w:val="0"/>
        <w:spacing w:line="360" w:lineRule="auto"/>
        <w:jc w:val="left"/>
        <w:rPr>
          <w:rFonts w:ascii="宋体" w:hAnsi="宋体" w:cs="MingLiU"/>
          <w:b/>
          <w:color w:val="auto"/>
          <w:kern w:val="0"/>
          <w:sz w:val="20"/>
          <w:szCs w:val="20"/>
          <w:highlight w:val="none"/>
        </w:rPr>
      </w:pPr>
    </w:p>
    <w:p w14:paraId="4601A9CE">
      <w:pPr>
        <w:autoSpaceDE w:val="0"/>
        <w:autoSpaceDN w:val="0"/>
        <w:adjustRightInd w:val="0"/>
        <w:snapToGrid w:val="0"/>
        <w:spacing w:line="360" w:lineRule="auto"/>
        <w:jc w:val="left"/>
        <w:rPr>
          <w:rFonts w:ascii="宋体" w:hAnsi="宋体" w:cs="MingLiU"/>
          <w:b/>
          <w:color w:val="auto"/>
          <w:kern w:val="0"/>
          <w:sz w:val="20"/>
          <w:szCs w:val="20"/>
          <w:highlight w:val="none"/>
        </w:rPr>
      </w:pPr>
    </w:p>
    <w:p w14:paraId="634A4231">
      <w:pPr>
        <w:autoSpaceDE w:val="0"/>
        <w:autoSpaceDN w:val="0"/>
        <w:adjustRightInd w:val="0"/>
        <w:snapToGrid w:val="0"/>
        <w:spacing w:line="360" w:lineRule="auto"/>
        <w:jc w:val="left"/>
        <w:rPr>
          <w:rFonts w:ascii="宋体" w:hAnsi="宋体" w:cs="MingLiU"/>
          <w:b/>
          <w:color w:val="auto"/>
          <w:kern w:val="0"/>
          <w:sz w:val="20"/>
          <w:szCs w:val="20"/>
          <w:highlight w:val="none"/>
        </w:rPr>
      </w:pPr>
    </w:p>
    <w:p w14:paraId="228CF83D">
      <w:pPr>
        <w:autoSpaceDE w:val="0"/>
        <w:autoSpaceDN w:val="0"/>
        <w:adjustRightInd w:val="0"/>
        <w:snapToGrid w:val="0"/>
        <w:spacing w:line="360" w:lineRule="auto"/>
        <w:jc w:val="left"/>
        <w:rPr>
          <w:rFonts w:ascii="宋体" w:hAnsi="宋体" w:cs="MingLiU"/>
          <w:b/>
          <w:color w:val="auto"/>
          <w:kern w:val="0"/>
          <w:sz w:val="20"/>
          <w:szCs w:val="20"/>
          <w:highlight w:val="none"/>
        </w:rPr>
      </w:pPr>
    </w:p>
    <w:p w14:paraId="6E265573">
      <w:pPr>
        <w:autoSpaceDE w:val="0"/>
        <w:autoSpaceDN w:val="0"/>
        <w:adjustRightInd w:val="0"/>
        <w:snapToGrid w:val="0"/>
        <w:spacing w:line="360" w:lineRule="auto"/>
        <w:jc w:val="left"/>
        <w:rPr>
          <w:rFonts w:ascii="宋体" w:hAnsi="宋体" w:cs="MingLiU"/>
          <w:b/>
          <w:color w:val="auto"/>
          <w:kern w:val="0"/>
          <w:sz w:val="20"/>
          <w:szCs w:val="20"/>
          <w:highlight w:val="none"/>
        </w:rPr>
      </w:pPr>
    </w:p>
    <w:p w14:paraId="794F70A5">
      <w:pPr>
        <w:tabs>
          <w:tab w:val="left" w:pos="6080"/>
          <w:tab w:val="left" w:pos="6640"/>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cs="MingLiU"/>
          <w:b/>
          <w:color w:val="auto"/>
          <w:w w:val="99"/>
          <w:kern w:val="0"/>
          <w:sz w:val="28"/>
          <w:szCs w:val="28"/>
          <w:highlight w:val="none"/>
        </w:rPr>
        <w:t xml:space="preserve"> 比选申请人</w:t>
      </w:r>
      <w:r>
        <w:rPr>
          <w:rFonts w:hint="eastAsia" w:ascii="宋体" w:hAnsi="宋体" w:cs="MingLiU"/>
          <w:b/>
          <w:color w:val="auto"/>
          <w:spacing w:val="1"/>
          <w:w w:val="99"/>
          <w:kern w:val="0"/>
          <w:sz w:val="28"/>
          <w:szCs w:val="28"/>
          <w:highlight w:val="none"/>
        </w:rPr>
        <w:t>：</w:t>
      </w:r>
      <w:r>
        <w:rPr>
          <w:rFonts w:hint="eastAsia" w:ascii="宋体" w:hAnsi="宋体" w:cs="MingLiU"/>
          <w:b/>
          <w:color w:val="auto"/>
          <w:w w:val="198"/>
          <w:kern w:val="0"/>
          <w:sz w:val="28"/>
          <w:szCs w:val="28"/>
          <w:highlight w:val="none"/>
          <w:u w:val="single"/>
        </w:rPr>
        <w:t>　　　 　　</w:t>
      </w:r>
      <w:r>
        <w:rPr>
          <w:rFonts w:hint="eastAsia" w:ascii="宋体" w:hAnsi="宋体" w:cs="MingLiU"/>
          <w:b/>
          <w:color w:val="auto"/>
          <w:w w:val="99"/>
          <w:kern w:val="0"/>
          <w:sz w:val="28"/>
          <w:szCs w:val="28"/>
          <w:highlight w:val="none"/>
        </w:rPr>
        <w:t>（盖单位法人章）</w:t>
      </w:r>
    </w:p>
    <w:p w14:paraId="0F6B4433">
      <w:pPr>
        <w:tabs>
          <w:tab w:val="left" w:pos="6080"/>
          <w:tab w:val="left" w:pos="6640"/>
        </w:tabs>
        <w:autoSpaceDE w:val="0"/>
        <w:autoSpaceDN w:val="0"/>
        <w:adjustRightInd w:val="0"/>
        <w:snapToGrid w:val="0"/>
        <w:spacing w:line="360" w:lineRule="auto"/>
        <w:jc w:val="center"/>
        <w:rPr>
          <w:rFonts w:ascii="宋体" w:hAnsi="宋体" w:cs="MingLiU"/>
          <w:b/>
          <w:color w:val="auto"/>
          <w:kern w:val="0"/>
          <w:sz w:val="28"/>
          <w:szCs w:val="28"/>
          <w:highlight w:val="none"/>
        </w:rPr>
      </w:pPr>
      <w:r>
        <w:rPr>
          <w:rFonts w:hint="eastAsia" w:ascii="宋体" w:hAnsi="宋体" w:cs="MingLiU"/>
          <w:b/>
          <w:color w:val="auto"/>
          <w:w w:val="99"/>
          <w:kern w:val="0"/>
          <w:sz w:val="28"/>
          <w:szCs w:val="28"/>
          <w:highlight w:val="none"/>
        </w:rPr>
        <w:t>法定代表人或其委托代理人：</w:t>
      </w:r>
      <w:r>
        <w:rPr>
          <w:rFonts w:hint="eastAsia" w:ascii="宋体" w:hAnsi="宋体" w:cs="MingLiU"/>
          <w:b/>
          <w:color w:val="auto"/>
          <w:w w:val="198"/>
          <w:kern w:val="0"/>
          <w:sz w:val="28"/>
          <w:szCs w:val="28"/>
          <w:highlight w:val="none"/>
          <w:u w:val="single"/>
        </w:rPr>
        <w:t>　　　</w:t>
      </w:r>
      <w:r>
        <w:rPr>
          <w:rFonts w:hint="eastAsia" w:ascii="宋体" w:hAnsi="宋体" w:cs="MingLiU"/>
          <w:b/>
          <w:color w:val="auto"/>
          <w:w w:val="99"/>
          <w:kern w:val="0"/>
          <w:sz w:val="28"/>
          <w:szCs w:val="28"/>
          <w:highlight w:val="none"/>
        </w:rPr>
        <w:t>（签名）</w:t>
      </w:r>
    </w:p>
    <w:p w14:paraId="1C60914A">
      <w:pPr>
        <w:tabs>
          <w:tab w:val="left" w:pos="3280"/>
          <w:tab w:val="left" w:pos="4680"/>
          <w:tab w:val="left" w:pos="6080"/>
        </w:tabs>
        <w:autoSpaceDE w:val="0"/>
        <w:autoSpaceDN w:val="0"/>
        <w:adjustRightInd w:val="0"/>
        <w:snapToGrid w:val="0"/>
        <w:spacing w:line="360" w:lineRule="auto"/>
        <w:jc w:val="center"/>
        <w:rPr>
          <w:rFonts w:ascii="宋体" w:hAnsi="宋体" w:cs="MingLiU"/>
          <w:b/>
          <w:color w:val="auto"/>
          <w:kern w:val="0"/>
          <w:sz w:val="28"/>
          <w:szCs w:val="28"/>
          <w:highlight w:val="none"/>
        </w:rPr>
      </w:pPr>
      <w:r>
        <w:rPr>
          <w:rFonts w:hint="eastAsia" w:ascii="宋体" w:hAnsi="宋体" w:cs="MingLiU"/>
          <w:b/>
          <w:color w:val="auto"/>
          <w:w w:val="99"/>
          <w:kern w:val="0"/>
          <w:sz w:val="28"/>
          <w:szCs w:val="28"/>
          <w:highlight w:val="none"/>
          <w:u w:val="single"/>
        </w:rPr>
        <w:t>　</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u w:val="single"/>
        </w:rPr>
        <w:t xml:space="preserve"> </w:t>
      </w:r>
      <w:r>
        <w:rPr>
          <w:rFonts w:hint="eastAsia" w:ascii="宋体" w:hAnsi="宋体" w:cs="MingLiU"/>
          <w:b/>
          <w:color w:val="auto"/>
          <w:w w:val="99"/>
          <w:kern w:val="0"/>
          <w:sz w:val="28"/>
          <w:szCs w:val="28"/>
          <w:highlight w:val="none"/>
        </w:rPr>
        <w:t>月</w:t>
      </w:r>
      <w:r>
        <w:rPr>
          <w:rFonts w:hint="eastAsia" w:ascii="宋体" w:hAnsi="宋体" w:cs="MingLiU"/>
          <w:b/>
          <w:color w:val="auto"/>
          <w:w w:val="99"/>
          <w:kern w:val="0"/>
          <w:sz w:val="28"/>
          <w:szCs w:val="28"/>
          <w:highlight w:val="none"/>
          <w:u w:val="single"/>
        </w:rPr>
        <w:t xml:space="preserve"> </w:t>
      </w:r>
      <w:r>
        <w:rPr>
          <w:rFonts w:hint="eastAsia" w:ascii="宋体" w:hAnsi="宋体" w:cs="MingLiU"/>
          <w:b/>
          <w:color w:val="auto"/>
          <w:w w:val="99"/>
          <w:kern w:val="0"/>
          <w:sz w:val="28"/>
          <w:szCs w:val="28"/>
          <w:highlight w:val="none"/>
        </w:rPr>
        <w:t>日</w:t>
      </w:r>
    </w:p>
    <w:p w14:paraId="636C9919">
      <w:pPr>
        <w:autoSpaceDE w:val="0"/>
        <w:autoSpaceDN w:val="0"/>
        <w:adjustRightInd w:val="0"/>
        <w:snapToGrid w:val="0"/>
        <w:spacing w:line="360" w:lineRule="auto"/>
        <w:jc w:val="left"/>
        <w:rPr>
          <w:rFonts w:ascii="宋体" w:hAnsi="宋体" w:cs="MingLiU"/>
          <w:color w:val="auto"/>
          <w:kern w:val="0"/>
          <w:sz w:val="24"/>
          <w:szCs w:val="21"/>
          <w:highlight w:val="none"/>
        </w:rPr>
      </w:pPr>
      <w:r>
        <w:rPr>
          <w:rFonts w:hint="eastAsia" w:ascii="宋体" w:hAnsi="宋体" w:cs="MingLiU"/>
          <w:color w:val="auto"/>
          <w:kern w:val="0"/>
          <w:sz w:val="24"/>
          <w:szCs w:val="21"/>
          <w:highlight w:val="none"/>
        </w:rPr>
        <w:br w:type="page"/>
      </w:r>
    </w:p>
    <w:p w14:paraId="76C5FC6F">
      <w:pPr>
        <w:autoSpaceDE w:val="0"/>
        <w:autoSpaceDN w:val="0"/>
        <w:adjustRightInd w:val="0"/>
        <w:snapToGrid w:val="0"/>
        <w:spacing w:line="360" w:lineRule="auto"/>
        <w:jc w:val="center"/>
        <w:rPr>
          <w:rFonts w:ascii="宋体" w:hAnsi="宋体" w:cs="MingLiU"/>
          <w:b/>
          <w:color w:val="auto"/>
          <w:kern w:val="0"/>
          <w:sz w:val="32"/>
          <w:szCs w:val="32"/>
          <w:highlight w:val="none"/>
        </w:rPr>
      </w:pPr>
      <w:r>
        <w:rPr>
          <w:rFonts w:hint="eastAsia" w:ascii="宋体" w:hAnsi="宋体" w:cs="MingLiU"/>
          <w:b/>
          <w:color w:val="auto"/>
          <w:kern w:val="0"/>
          <w:sz w:val="32"/>
          <w:szCs w:val="32"/>
          <w:highlight w:val="none"/>
        </w:rPr>
        <w:t>目录</w:t>
      </w:r>
    </w:p>
    <w:p w14:paraId="514D6F3C">
      <w:pPr>
        <w:autoSpaceDE w:val="0"/>
        <w:autoSpaceDN w:val="0"/>
        <w:adjustRightInd w:val="0"/>
        <w:snapToGrid w:val="0"/>
        <w:spacing w:line="360" w:lineRule="auto"/>
        <w:jc w:val="left"/>
        <w:rPr>
          <w:rFonts w:ascii="宋体" w:hAnsi="宋体" w:cs="MingLiU"/>
          <w:color w:val="auto"/>
          <w:kern w:val="0"/>
          <w:sz w:val="24"/>
          <w:szCs w:val="21"/>
          <w:highlight w:val="none"/>
        </w:rPr>
      </w:pPr>
    </w:p>
    <w:p w14:paraId="61EEA1BE">
      <w:pPr>
        <w:autoSpaceDE w:val="0"/>
        <w:autoSpaceDN w:val="0"/>
        <w:adjustRightInd w:val="0"/>
        <w:spacing w:line="360" w:lineRule="auto"/>
        <w:ind w:right="-20"/>
        <w:jc w:val="left"/>
        <w:rPr>
          <w:rFonts w:ascii="宋体" w:hAnsi="宋体" w:cs="MingLiU"/>
          <w:color w:val="auto"/>
          <w:kern w:val="0"/>
          <w:sz w:val="24"/>
          <w:highlight w:val="none"/>
        </w:rPr>
      </w:pPr>
      <w:r>
        <w:rPr>
          <w:rFonts w:hint="eastAsia" w:ascii="宋体" w:hAnsi="宋体" w:cs="MingLiU"/>
          <w:color w:val="auto"/>
          <w:kern w:val="0"/>
          <w:sz w:val="24"/>
          <w:highlight w:val="none"/>
        </w:rPr>
        <w:t>（一）比选申请函</w:t>
      </w:r>
    </w:p>
    <w:p w14:paraId="1292DF99">
      <w:pPr>
        <w:autoSpaceDE w:val="0"/>
        <w:autoSpaceDN w:val="0"/>
        <w:adjustRightInd w:val="0"/>
        <w:spacing w:line="360" w:lineRule="auto"/>
        <w:ind w:right="-20"/>
        <w:jc w:val="left"/>
        <w:rPr>
          <w:rFonts w:ascii="宋体" w:hAnsi="宋体" w:cs="MingLiU"/>
          <w:color w:val="auto"/>
          <w:kern w:val="0"/>
          <w:sz w:val="24"/>
          <w:highlight w:val="none"/>
        </w:rPr>
      </w:pPr>
      <w:r>
        <w:rPr>
          <w:rFonts w:hint="eastAsia" w:ascii="宋体" w:hAnsi="宋体" w:cs="MingLiU"/>
          <w:color w:val="auto"/>
          <w:kern w:val="0"/>
          <w:sz w:val="24"/>
          <w:highlight w:val="none"/>
        </w:rPr>
        <w:t>（二）法定代表人身份证明及授权委托书</w:t>
      </w:r>
    </w:p>
    <w:p w14:paraId="3E05C4E7">
      <w:pPr>
        <w:autoSpaceDE w:val="0"/>
        <w:autoSpaceDN w:val="0"/>
        <w:adjustRightInd w:val="0"/>
        <w:snapToGrid w:val="0"/>
        <w:spacing w:line="360" w:lineRule="auto"/>
        <w:jc w:val="left"/>
        <w:rPr>
          <w:rFonts w:ascii="宋体" w:hAnsi="宋体" w:cs="MingLiU"/>
          <w:color w:val="auto"/>
          <w:kern w:val="0"/>
          <w:szCs w:val="21"/>
          <w:highlight w:val="none"/>
        </w:rPr>
      </w:pPr>
    </w:p>
    <w:p w14:paraId="40CE07DA">
      <w:pPr>
        <w:autoSpaceDE w:val="0"/>
        <w:autoSpaceDN w:val="0"/>
        <w:adjustRightInd w:val="0"/>
        <w:snapToGrid w:val="0"/>
        <w:spacing w:line="360" w:lineRule="auto"/>
        <w:jc w:val="left"/>
        <w:rPr>
          <w:rFonts w:ascii="宋体" w:hAnsi="宋体" w:cs="MingLiU"/>
          <w:color w:val="auto"/>
          <w:kern w:val="0"/>
          <w:szCs w:val="21"/>
          <w:highlight w:val="none"/>
        </w:rPr>
      </w:pPr>
    </w:p>
    <w:p w14:paraId="1E5A01F0">
      <w:pPr>
        <w:autoSpaceDE w:val="0"/>
        <w:autoSpaceDN w:val="0"/>
        <w:adjustRightInd w:val="0"/>
        <w:snapToGrid w:val="0"/>
        <w:spacing w:line="360" w:lineRule="auto"/>
        <w:jc w:val="left"/>
        <w:rPr>
          <w:rFonts w:ascii="宋体" w:hAnsi="宋体"/>
          <w:color w:val="auto"/>
          <w:kern w:val="0"/>
          <w:highlight w:val="none"/>
        </w:rPr>
      </w:pPr>
    </w:p>
    <w:p w14:paraId="6E2033A7">
      <w:pPr>
        <w:autoSpaceDE w:val="0"/>
        <w:autoSpaceDN w:val="0"/>
        <w:adjustRightInd w:val="0"/>
        <w:snapToGrid w:val="0"/>
        <w:spacing w:line="360" w:lineRule="auto"/>
        <w:jc w:val="left"/>
        <w:rPr>
          <w:rFonts w:ascii="宋体" w:hAnsi="宋体"/>
          <w:color w:val="auto"/>
          <w:kern w:val="0"/>
          <w:highlight w:val="none"/>
        </w:rPr>
      </w:pPr>
    </w:p>
    <w:p w14:paraId="731E9E14">
      <w:pPr>
        <w:autoSpaceDE w:val="0"/>
        <w:autoSpaceDN w:val="0"/>
        <w:adjustRightInd w:val="0"/>
        <w:snapToGrid w:val="0"/>
        <w:spacing w:line="360" w:lineRule="auto"/>
        <w:jc w:val="left"/>
        <w:rPr>
          <w:rFonts w:ascii="宋体" w:hAnsi="宋体"/>
          <w:color w:val="auto"/>
          <w:kern w:val="0"/>
          <w:highlight w:val="none"/>
        </w:rPr>
      </w:pPr>
    </w:p>
    <w:p w14:paraId="58B90231">
      <w:pPr>
        <w:autoSpaceDE w:val="0"/>
        <w:autoSpaceDN w:val="0"/>
        <w:adjustRightInd w:val="0"/>
        <w:snapToGrid w:val="0"/>
        <w:spacing w:line="360" w:lineRule="auto"/>
        <w:jc w:val="left"/>
        <w:rPr>
          <w:rFonts w:ascii="宋体" w:hAnsi="宋体"/>
          <w:color w:val="auto"/>
          <w:kern w:val="0"/>
          <w:highlight w:val="none"/>
        </w:rPr>
      </w:pPr>
    </w:p>
    <w:p w14:paraId="1D27C25D">
      <w:pPr>
        <w:autoSpaceDE w:val="0"/>
        <w:autoSpaceDN w:val="0"/>
        <w:adjustRightInd w:val="0"/>
        <w:snapToGrid w:val="0"/>
        <w:spacing w:line="360" w:lineRule="auto"/>
        <w:jc w:val="left"/>
        <w:rPr>
          <w:rFonts w:ascii="宋体" w:hAnsi="宋体"/>
          <w:color w:val="auto"/>
          <w:kern w:val="0"/>
          <w:highlight w:val="none"/>
        </w:rPr>
      </w:pPr>
    </w:p>
    <w:p w14:paraId="5B4A7C35">
      <w:pPr>
        <w:autoSpaceDE w:val="0"/>
        <w:autoSpaceDN w:val="0"/>
        <w:adjustRightInd w:val="0"/>
        <w:snapToGrid w:val="0"/>
        <w:spacing w:line="360" w:lineRule="auto"/>
        <w:jc w:val="left"/>
        <w:rPr>
          <w:rFonts w:ascii="宋体" w:hAnsi="宋体"/>
          <w:color w:val="auto"/>
          <w:kern w:val="0"/>
          <w:highlight w:val="none"/>
        </w:rPr>
      </w:pPr>
    </w:p>
    <w:p w14:paraId="7A6B72E5">
      <w:pPr>
        <w:autoSpaceDE w:val="0"/>
        <w:autoSpaceDN w:val="0"/>
        <w:adjustRightInd w:val="0"/>
        <w:snapToGrid w:val="0"/>
        <w:spacing w:line="360" w:lineRule="auto"/>
        <w:jc w:val="left"/>
        <w:rPr>
          <w:rFonts w:ascii="宋体" w:hAnsi="宋体"/>
          <w:color w:val="auto"/>
          <w:kern w:val="0"/>
          <w:highlight w:val="none"/>
        </w:rPr>
      </w:pPr>
    </w:p>
    <w:p w14:paraId="20F43EE5">
      <w:pPr>
        <w:autoSpaceDE w:val="0"/>
        <w:autoSpaceDN w:val="0"/>
        <w:adjustRightInd w:val="0"/>
        <w:snapToGrid w:val="0"/>
        <w:spacing w:line="360" w:lineRule="auto"/>
        <w:jc w:val="left"/>
        <w:rPr>
          <w:rFonts w:ascii="宋体" w:hAnsi="宋体"/>
          <w:color w:val="auto"/>
          <w:kern w:val="0"/>
          <w:highlight w:val="none"/>
        </w:rPr>
      </w:pPr>
    </w:p>
    <w:p w14:paraId="5644BEE0">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276DE142">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0842B283">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1000EB4F">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23107B8C">
      <w:pPr>
        <w:pStyle w:val="5"/>
        <w:jc w:val="center"/>
        <w:rPr>
          <w:rFonts w:ascii="宋体" w:hAnsi="宋体"/>
          <w:color w:val="auto"/>
          <w:sz w:val="28"/>
          <w:highlight w:val="none"/>
        </w:rPr>
      </w:pPr>
      <w:r>
        <w:rPr>
          <w:b w:val="0"/>
          <w:bCs w:val="0"/>
          <w:color w:val="auto"/>
          <w:highlight w:val="none"/>
        </w:rPr>
        <w:br w:type="page"/>
      </w:r>
      <w:bookmarkStart w:id="2921" w:name="_Toc224103495"/>
      <w:bookmarkStart w:id="2922" w:name="_Toc505076004"/>
      <w:bookmarkStart w:id="2923" w:name="_Toc31724"/>
      <w:bookmarkStart w:id="2924" w:name="_Toc493602575"/>
      <w:bookmarkStart w:id="2925" w:name="_Toc16000471"/>
      <w:bookmarkStart w:id="2926" w:name="_Toc277082643"/>
      <w:bookmarkStart w:id="2927" w:name="_Toc483489911"/>
      <w:bookmarkStart w:id="2928" w:name="_Toc1288"/>
      <w:bookmarkStart w:id="2929" w:name="_Toc505783798"/>
      <w:bookmarkStart w:id="2930" w:name="_Toc24761"/>
      <w:bookmarkStart w:id="2931" w:name="_Toc287607867"/>
      <w:bookmarkStart w:id="2932" w:name="_Toc12719"/>
      <w:r>
        <w:rPr>
          <w:rFonts w:hint="eastAsia" w:ascii="宋体" w:hAnsi="宋体"/>
          <w:color w:val="auto"/>
          <w:sz w:val="28"/>
          <w:highlight w:val="none"/>
        </w:rPr>
        <w:t>（一）比选申请函</w:t>
      </w:r>
      <w:bookmarkEnd w:id="2921"/>
      <w:bookmarkEnd w:id="2922"/>
      <w:bookmarkEnd w:id="2923"/>
      <w:bookmarkEnd w:id="2924"/>
      <w:bookmarkEnd w:id="2925"/>
      <w:bookmarkEnd w:id="2926"/>
      <w:bookmarkEnd w:id="2927"/>
      <w:bookmarkEnd w:id="2928"/>
      <w:bookmarkEnd w:id="2929"/>
      <w:bookmarkEnd w:id="2930"/>
      <w:bookmarkEnd w:id="2931"/>
      <w:bookmarkEnd w:id="2932"/>
    </w:p>
    <w:p w14:paraId="62E02F5B">
      <w:pPr>
        <w:autoSpaceDE w:val="0"/>
        <w:autoSpaceDN w:val="0"/>
        <w:adjustRightInd w:val="0"/>
        <w:spacing w:line="200" w:lineRule="exact"/>
        <w:jc w:val="left"/>
        <w:rPr>
          <w:rFonts w:ascii="宋体" w:hAnsi="宋体" w:cs="MingLiU"/>
          <w:color w:val="auto"/>
          <w:kern w:val="0"/>
          <w:sz w:val="20"/>
          <w:szCs w:val="20"/>
          <w:highlight w:val="none"/>
        </w:rPr>
      </w:pPr>
    </w:p>
    <w:p w14:paraId="34E244B8">
      <w:pPr>
        <w:tabs>
          <w:tab w:val="left" w:pos="2640"/>
        </w:tabs>
        <w:autoSpaceDE w:val="0"/>
        <w:autoSpaceDN w:val="0"/>
        <w:adjustRightInd w:val="0"/>
        <w:spacing w:line="360" w:lineRule="auto"/>
        <w:rPr>
          <w:rFonts w:ascii="宋体" w:hAnsi="宋体"/>
          <w:snapToGrid w:val="0"/>
          <w:color w:val="auto"/>
          <w:kern w:val="0"/>
          <w:szCs w:val="21"/>
          <w:highlight w:val="none"/>
        </w:rPr>
      </w:pPr>
      <w:bookmarkStart w:id="2933" w:name="_Toc224103496"/>
      <w:bookmarkStart w:id="2934" w:name="_Toc483489912"/>
      <w:bookmarkStart w:id="2935" w:name="_Toc505783799"/>
      <w:bookmarkStart w:id="2936" w:name="_Toc505076005"/>
      <w:bookmarkStart w:id="2937" w:name="_Toc5401"/>
      <w:bookmarkStart w:id="2938" w:name="_Toc277082644"/>
      <w:bookmarkStart w:id="2939" w:name="_Toc493602576"/>
      <w:bookmarkStart w:id="2940" w:name="_Toc287607868"/>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名称）：</w:t>
      </w:r>
    </w:p>
    <w:p w14:paraId="69CE2F58">
      <w:pPr>
        <w:tabs>
          <w:tab w:val="left" w:pos="2655"/>
          <w:tab w:val="left" w:pos="3520"/>
          <w:tab w:val="left" w:pos="4920"/>
          <w:tab w:val="left" w:pos="5715"/>
          <w:tab w:val="left" w:pos="6945"/>
          <w:tab w:val="left" w:pos="7980"/>
        </w:tabs>
        <w:autoSpaceDE w:val="0"/>
        <w:autoSpaceDN w:val="0"/>
        <w:adjustRightInd w:val="0"/>
        <w:spacing w:line="440" w:lineRule="exact"/>
        <w:ind w:right="94"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w:t>
      </w:r>
      <w:r>
        <w:rPr>
          <w:rFonts w:hint="eastAsia" w:ascii="宋体" w:hAnsi="宋体"/>
          <w:snapToGrid w:val="0"/>
          <w:color w:val="auto"/>
          <w:kern w:val="0"/>
          <w:szCs w:val="21"/>
          <w:highlight w:val="none"/>
        </w:rPr>
        <w:t>愿意以</w:t>
      </w:r>
      <w:r>
        <w:rPr>
          <w:rFonts w:hint="eastAsia"/>
          <w:color w:val="auto"/>
          <w:szCs w:val="21"/>
          <w:highlight w:val="none"/>
        </w:rPr>
        <w:t>人民币（大写）</w:t>
      </w:r>
      <w:r>
        <w:rPr>
          <w:rFonts w:hint="eastAsia"/>
          <w:color w:val="auto"/>
          <w:szCs w:val="21"/>
          <w:highlight w:val="none"/>
          <w:u w:val="single"/>
        </w:rPr>
        <w:t xml:space="preserve">          </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）固定费率为</w:t>
      </w:r>
      <w:r>
        <w:rPr>
          <w:rFonts w:hint="eastAsia"/>
          <w:color w:val="auto"/>
          <w:szCs w:val="21"/>
          <w:highlight w:val="none"/>
          <w:u w:val="single"/>
        </w:rPr>
        <w:t xml:space="preserve">     </w:t>
      </w:r>
      <w:r>
        <w:rPr>
          <w:rFonts w:hint="eastAsia"/>
          <w:color w:val="auto"/>
          <w:szCs w:val="21"/>
          <w:highlight w:val="none"/>
        </w:rPr>
        <w:t>%,</w:t>
      </w:r>
      <w:r>
        <w:rPr>
          <w:rFonts w:ascii="宋体" w:hAnsi="宋体"/>
          <w:snapToGrid w:val="0"/>
          <w:color w:val="auto"/>
          <w:kern w:val="0"/>
          <w:szCs w:val="21"/>
          <w:highlight w:val="none"/>
        </w:rPr>
        <w:t>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kern w:val="0"/>
          <w:highlight w:val="none"/>
        </w:rPr>
        <w:t>的比选报价</w:t>
      </w:r>
      <w:r>
        <w:rPr>
          <w:rFonts w:hint="eastAsia"/>
          <w:color w:val="auto"/>
          <w:szCs w:val="21"/>
          <w:highlight w:val="none"/>
        </w:rPr>
        <w:t>，</w:t>
      </w:r>
      <w:r>
        <w:rPr>
          <w:rFonts w:ascii="宋体" w:hAnsi="宋体"/>
          <w:snapToGrid w:val="0"/>
          <w:color w:val="auto"/>
          <w:kern w:val="0"/>
          <w:szCs w:val="21"/>
          <w:highlight w:val="none"/>
        </w:rPr>
        <w:t>按合同约定</w:t>
      </w:r>
      <w:r>
        <w:rPr>
          <w:rFonts w:hint="eastAsia" w:ascii="宋体" w:hAnsi="宋体"/>
          <w:color w:val="auto"/>
          <w:kern w:val="0"/>
          <w:highlight w:val="none"/>
        </w:rPr>
        <w:t>实施和完成承包工程</w:t>
      </w:r>
      <w:r>
        <w:rPr>
          <w:rFonts w:hint="eastAsia" w:ascii="宋体" w:hAnsi="宋体"/>
          <w:snapToGrid w:val="0"/>
          <w:color w:val="auto"/>
          <w:kern w:val="0"/>
          <w:szCs w:val="21"/>
          <w:highlight w:val="none"/>
        </w:rPr>
        <w:t>。</w:t>
      </w:r>
    </w:p>
    <w:p w14:paraId="3C9A48AC">
      <w:pPr>
        <w:tabs>
          <w:tab w:val="left" w:pos="2655"/>
          <w:tab w:val="left" w:pos="3520"/>
          <w:tab w:val="left" w:pos="4920"/>
          <w:tab w:val="left" w:pos="5715"/>
          <w:tab w:val="left" w:pos="6945"/>
          <w:tab w:val="left" w:pos="7980"/>
        </w:tabs>
        <w:autoSpaceDE w:val="0"/>
        <w:autoSpaceDN w:val="0"/>
        <w:adjustRightInd w:val="0"/>
        <w:spacing w:line="440" w:lineRule="exact"/>
        <w:ind w:left="420" w:leftChars="200" w:right="94"/>
        <w:rPr>
          <w:rFonts w:ascii="宋体" w:hAnsi="宋体"/>
          <w:snapToGrid w:val="0"/>
          <w:color w:val="auto"/>
          <w:kern w:val="0"/>
          <w:szCs w:val="21"/>
          <w:highlight w:val="none"/>
        </w:rPr>
      </w:pPr>
      <w:r>
        <w:rPr>
          <w:rFonts w:hint="eastAsia" w:ascii="宋体" w:hAnsi="宋体"/>
          <w:snapToGrid w:val="0"/>
          <w:color w:val="auto"/>
          <w:kern w:val="0"/>
          <w:szCs w:val="21"/>
          <w:highlight w:val="none"/>
        </w:rPr>
        <w:t>注：比选报价建议保留两位小数。</w:t>
      </w:r>
    </w:p>
    <w:p w14:paraId="75311F47">
      <w:pPr>
        <w:tabs>
          <w:tab w:val="left" w:pos="2655"/>
          <w:tab w:val="left" w:pos="3520"/>
          <w:tab w:val="left" w:pos="4920"/>
          <w:tab w:val="left" w:pos="5715"/>
          <w:tab w:val="left" w:pos="6945"/>
          <w:tab w:val="left" w:pos="7980"/>
        </w:tabs>
        <w:autoSpaceDE w:val="0"/>
        <w:autoSpaceDN w:val="0"/>
        <w:adjustRightInd w:val="0"/>
        <w:spacing w:line="440" w:lineRule="exact"/>
        <w:ind w:firstLine="420" w:firstLineChars="200"/>
        <w:rPr>
          <w:color w:val="auto"/>
          <w:highlight w:val="none"/>
          <w:u w:val="single"/>
        </w:rPr>
      </w:pPr>
      <w:r>
        <w:rPr>
          <w:rFonts w:hint="eastAsia" w:ascii="宋体" w:hAnsi="宋体" w:cs="宋体"/>
          <w:color w:val="auto"/>
          <w:szCs w:val="21"/>
          <w:highlight w:val="none"/>
        </w:rPr>
        <w:t>项目经理为：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符合比选文件的要求</w:t>
      </w:r>
      <w:r>
        <w:rPr>
          <w:rFonts w:hint="eastAsia" w:ascii="宋体" w:hAnsi="宋体" w:cs="宋体"/>
          <w:snapToGrid w:val="0"/>
          <w:color w:val="auto"/>
          <w:kern w:val="0"/>
          <w:position w:val="-2"/>
          <w:szCs w:val="21"/>
          <w:highlight w:val="none"/>
        </w:rPr>
        <w:t>，</w:t>
      </w:r>
      <w:r>
        <w:rPr>
          <w:rFonts w:ascii="宋体" w:hAnsi="宋体"/>
          <w:snapToGrid w:val="0"/>
          <w:color w:val="auto"/>
          <w:kern w:val="0"/>
          <w:szCs w:val="21"/>
          <w:highlight w:val="none"/>
        </w:rPr>
        <w:t>工程质量</w:t>
      </w:r>
      <w:r>
        <w:rPr>
          <w:rFonts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rPr>
        <w:t>比选文件的要求</w:t>
      </w:r>
      <w:r>
        <w:rPr>
          <w:rFonts w:hint="eastAsia" w:ascii="宋体" w:hAnsi="宋体"/>
          <w:snapToGrid w:val="0"/>
          <w:color w:val="auto"/>
          <w:kern w:val="0"/>
          <w:szCs w:val="21"/>
          <w:highlight w:val="none"/>
        </w:rPr>
        <w:t>。</w:t>
      </w:r>
    </w:p>
    <w:p w14:paraId="2D13D515">
      <w:pPr>
        <w:tabs>
          <w:tab w:val="left" w:pos="2655"/>
          <w:tab w:val="left" w:pos="3520"/>
          <w:tab w:val="left" w:pos="4920"/>
          <w:tab w:val="left" w:pos="5715"/>
          <w:tab w:val="left" w:pos="6945"/>
          <w:tab w:val="left" w:pos="7980"/>
        </w:tabs>
        <w:autoSpaceDE w:val="0"/>
        <w:autoSpaceDN w:val="0"/>
        <w:adjustRightInd w:val="0"/>
        <w:spacing w:line="440" w:lineRule="exact"/>
        <w:ind w:left="420" w:leftChars="200" w:right="94"/>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响应比选文件规定的比选申请有效期，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w:t>
      </w:r>
    </w:p>
    <w:p w14:paraId="5E7332B5">
      <w:pPr>
        <w:autoSpaceDE w:val="0"/>
        <w:autoSpaceDN w:val="0"/>
        <w:adjustRightInd w:val="0"/>
        <w:spacing w:before="10" w:line="100" w:lineRule="exact"/>
        <w:jc w:val="left"/>
        <w:rPr>
          <w:rFonts w:ascii="宋体" w:hAnsi="宋体"/>
          <w:color w:val="auto"/>
          <w:kern w:val="0"/>
          <w:sz w:val="10"/>
          <w:szCs w:val="10"/>
          <w:highlight w:val="none"/>
        </w:rPr>
      </w:pPr>
      <w:r>
        <w:rPr>
          <w:rFonts w:hint="eastAsia" w:ascii="宋体" w:hAnsi="宋体"/>
          <w:color w:val="auto"/>
          <w:kern w:val="0"/>
          <w:sz w:val="10"/>
          <w:szCs w:val="10"/>
          <w:highlight w:val="none"/>
        </w:rPr>
        <w:t xml:space="preserve"> </w:t>
      </w:r>
    </w:p>
    <w:p w14:paraId="4527EE75">
      <w:pPr>
        <w:autoSpaceDE w:val="0"/>
        <w:autoSpaceDN w:val="0"/>
        <w:adjustRightInd w:val="0"/>
        <w:ind w:right="-119" w:firstLine="420" w:firstLineChars="200"/>
        <w:jc w:val="left"/>
        <w:rPr>
          <w:rFonts w:ascii="宋体" w:hAnsi="宋体"/>
          <w:color w:val="auto"/>
          <w:kern w:val="0"/>
          <w:szCs w:val="21"/>
          <w:highlight w:val="none"/>
        </w:rPr>
      </w:pPr>
      <w:r>
        <w:rPr>
          <w:rFonts w:hint="eastAsia" w:ascii="宋体" w:hAnsi="宋体"/>
          <w:color w:val="auto"/>
          <w:kern w:val="0"/>
          <w:highlight w:val="none"/>
        </w:rPr>
        <w:t>3．如我方中选：</w:t>
      </w:r>
    </w:p>
    <w:p w14:paraId="143F76C1">
      <w:pPr>
        <w:autoSpaceDE w:val="0"/>
        <w:autoSpaceDN w:val="0"/>
        <w:adjustRightInd w:val="0"/>
        <w:spacing w:line="360" w:lineRule="auto"/>
        <w:ind w:right="-80" w:firstLine="840" w:firstLineChars="400"/>
        <w:jc w:val="left"/>
        <w:rPr>
          <w:rFonts w:ascii="宋体" w:hAnsi="宋体"/>
          <w:color w:val="auto"/>
          <w:kern w:val="0"/>
          <w:highlight w:val="none"/>
        </w:rPr>
      </w:pPr>
      <w:r>
        <w:rPr>
          <w:rFonts w:hint="eastAsia" w:ascii="宋体" w:hAnsi="宋体"/>
          <w:color w:val="auto"/>
          <w:kern w:val="0"/>
          <w:highlight w:val="none"/>
        </w:rPr>
        <w:t>（1）我方承诺在收到中选通知书后，在中选通知书规定的期限内与你方签订合同。</w:t>
      </w:r>
    </w:p>
    <w:p w14:paraId="5C3428DE">
      <w:pPr>
        <w:ind w:firstLine="840" w:firstLineChars="400"/>
        <w:rPr>
          <w:rFonts w:ascii="宋体" w:hAnsi="宋体"/>
          <w:color w:val="auto"/>
          <w:highlight w:val="none"/>
        </w:rPr>
      </w:pPr>
      <w:r>
        <w:rPr>
          <w:rFonts w:hint="eastAsia" w:ascii="宋体" w:hAnsi="宋体" w:cs="MingLiU"/>
          <w:color w:val="auto"/>
          <w:kern w:val="0"/>
          <w:highlight w:val="none"/>
        </w:rPr>
        <w:t>（2）我方承诺在投标有效期内不修改、撤销比选申请文件。</w:t>
      </w:r>
    </w:p>
    <w:p w14:paraId="41A80050">
      <w:pPr>
        <w:autoSpaceDE w:val="0"/>
        <w:autoSpaceDN w:val="0"/>
        <w:adjustRightInd w:val="0"/>
        <w:spacing w:line="360" w:lineRule="auto"/>
        <w:ind w:right="-20" w:firstLine="840" w:firstLineChars="400"/>
        <w:rPr>
          <w:rFonts w:ascii="宋体" w:hAnsi="宋体"/>
          <w:color w:val="auto"/>
          <w:sz w:val="24"/>
          <w:highlight w:val="none"/>
        </w:rPr>
      </w:pPr>
      <w:r>
        <w:rPr>
          <w:rFonts w:hint="eastAsia" w:ascii="宋体" w:hAnsi="宋体" w:cs="MingLiU"/>
          <w:color w:val="auto"/>
          <w:kern w:val="0"/>
          <w:highlight w:val="none"/>
        </w:rPr>
        <w:t>（3）随同本比选申请函递交的比选申请附录属于合同文件的组成部分。</w:t>
      </w:r>
    </w:p>
    <w:p w14:paraId="479035E8">
      <w:pPr>
        <w:autoSpaceDE w:val="0"/>
        <w:autoSpaceDN w:val="0"/>
        <w:adjustRightInd w:val="0"/>
        <w:spacing w:line="360" w:lineRule="auto"/>
        <w:ind w:right="-20" w:firstLine="840" w:firstLineChars="400"/>
        <w:jc w:val="left"/>
        <w:rPr>
          <w:rFonts w:ascii="宋体" w:hAnsi="宋体"/>
          <w:color w:val="auto"/>
          <w:kern w:val="0"/>
          <w:szCs w:val="21"/>
          <w:highlight w:val="none"/>
        </w:rPr>
      </w:pPr>
      <w:r>
        <w:rPr>
          <w:rFonts w:hint="eastAsia" w:ascii="宋体" w:hAnsi="宋体"/>
          <w:color w:val="auto"/>
          <w:kern w:val="0"/>
          <w:highlight w:val="none"/>
        </w:rPr>
        <w:t>（4）我方承诺在合同约定的期限内完成并移交全部合同工程施工工作。</w:t>
      </w:r>
    </w:p>
    <w:p w14:paraId="3A8B88DB">
      <w:pPr>
        <w:autoSpaceDE w:val="0"/>
        <w:autoSpaceDN w:val="0"/>
        <w:adjustRightInd w:val="0"/>
        <w:spacing w:before="10" w:line="100" w:lineRule="exact"/>
        <w:jc w:val="left"/>
        <w:rPr>
          <w:rFonts w:ascii="宋体" w:hAnsi="宋体"/>
          <w:color w:val="auto"/>
          <w:kern w:val="0"/>
          <w:sz w:val="10"/>
          <w:szCs w:val="10"/>
          <w:highlight w:val="none"/>
        </w:rPr>
      </w:pPr>
      <w:r>
        <w:rPr>
          <w:rFonts w:hint="eastAsia" w:ascii="宋体" w:hAnsi="宋体"/>
          <w:color w:val="auto"/>
          <w:kern w:val="0"/>
          <w:sz w:val="10"/>
          <w:szCs w:val="10"/>
          <w:highlight w:val="none"/>
        </w:rPr>
        <w:t xml:space="preserve"> </w:t>
      </w:r>
    </w:p>
    <w:p w14:paraId="22D10B34">
      <w:pPr>
        <w:autoSpaceDE w:val="0"/>
        <w:autoSpaceDN w:val="0"/>
        <w:adjustRightInd w:val="0"/>
        <w:spacing w:line="360" w:lineRule="auto"/>
        <w:ind w:left="120" w:right="-9" w:firstLine="420"/>
        <w:jc w:val="left"/>
        <w:rPr>
          <w:rFonts w:ascii="宋体" w:hAnsi="宋体"/>
          <w:color w:val="auto"/>
          <w:kern w:val="0"/>
          <w:szCs w:val="21"/>
          <w:highlight w:val="none"/>
        </w:rPr>
      </w:pPr>
      <w:r>
        <w:rPr>
          <w:rFonts w:hint="eastAsia" w:ascii="宋体" w:hAnsi="宋体"/>
          <w:color w:val="auto"/>
          <w:kern w:val="0"/>
          <w:highlight w:val="none"/>
        </w:rPr>
        <w:t>5．我方在此声明，所递交的参选文件及有关资料内容完整、真实和准确，且合法。</w:t>
      </w:r>
    </w:p>
    <w:p w14:paraId="7CCBA1CE">
      <w:pPr>
        <w:autoSpaceDE w:val="0"/>
        <w:autoSpaceDN w:val="0"/>
        <w:adjustRightInd w:val="0"/>
        <w:spacing w:line="360" w:lineRule="auto"/>
        <w:ind w:left="540" w:right="-20"/>
        <w:jc w:val="left"/>
        <w:rPr>
          <w:rFonts w:ascii="宋体" w:hAnsi="宋体"/>
          <w:color w:val="auto"/>
          <w:kern w:val="0"/>
          <w:highlight w:val="none"/>
          <w:u w:val="single"/>
        </w:rPr>
      </w:pPr>
      <w:r>
        <w:rPr>
          <w:rFonts w:hint="eastAsia" w:ascii="宋体" w:hAnsi="宋体"/>
          <w:color w:val="auto"/>
          <w:kern w:val="0"/>
          <w:highlight w:val="none"/>
        </w:rPr>
        <w:t>6.</w:t>
      </w:r>
      <w:r>
        <w:rPr>
          <w:rFonts w:hint="eastAsia" w:ascii="宋体" w:hAnsi="宋体"/>
          <w:color w:val="auto"/>
          <w:kern w:val="0"/>
          <w:highlight w:val="none"/>
          <w:u w:val="single"/>
        </w:rPr>
        <w:t xml:space="preserve"> </w:t>
      </w:r>
      <w:r>
        <w:rPr>
          <w:rFonts w:hint="eastAsia" w:ascii="宋体" w:hAnsi="宋体"/>
          <w:color w:val="auto"/>
          <w:kern w:val="0"/>
          <w:highlight w:val="none"/>
          <w:u w:val="single"/>
        </w:rPr>
        <w:tab/>
      </w:r>
      <w:r>
        <w:rPr>
          <w:rFonts w:hint="eastAsia" w:ascii="宋体" w:hAnsi="宋体"/>
          <w:color w:val="auto"/>
          <w:kern w:val="0"/>
          <w:highlight w:val="none"/>
          <w:u w:val="single"/>
        </w:rPr>
        <w:t xml:space="preserve">               </w:t>
      </w:r>
      <w:r>
        <w:rPr>
          <w:rFonts w:hint="eastAsia" w:ascii="宋体" w:hAnsi="宋体"/>
          <w:color w:val="auto"/>
          <w:kern w:val="0"/>
          <w:highlight w:val="none"/>
        </w:rPr>
        <w:t>（其他补充说明）。</w:t>
      </w:r>
    </w:p>
    <w:p w14:paraId="319CD562">
      <w:pPr>
        <w:autoSpaceDE w:val="0"/>
        <w:autoSpaceDN w:val="0"/>
        <w:adjustRightInd w:val="0"/>
        <w:spacing w:line="369" w:lineRule="auto"/>
        <w:ind w:right="210"/>
        <w:rPr>
          <w:rFonts w:ascii="宋体" w:hAnsi="宋体"/>
          <w:color w:val="auto"/>
          <w:kern w:val="0"/>
          <w:highlight w:val="none"/>
        </w:rPr>
      </w:pPr>
      <w:r>
        <w:rPr>
          <w:rFonts w:hint="eastAsia" w:ascii="宋体" w:hAnsi="宋体"/>
          <w:color w:val="auto"/>
          <w:kern w:val="0"/>
          <w:highlight w:val="none"/>
        </w:rPr>
        <w:t xml:space="preserve"> </w:t>
      </w:r>
    </w:p>
    <w:p w14:paraId="78D1EB5F">
      <w:pPr>
        <w:autoSpaceDE w:val="0"/>
        <w:autoSpaceDN w:val="0"/>
        <w:adjustRightInd w:val="0"/>
        <w:spacing w:line="369" w:lineRule="auto"/>
        <w:ind w:right="210" w:firstLine="1984" w:firstLineChars="945"/>
        <w:rPr>
          <w:rFonts w:ascii="宋体" w:hAnsi="宋体"/>
          <w:color w:val="auto"/>
          <w:kern w:val="0"/>
          <w:highlight w:val="none"/>
        </w:rPr>
      </w:pPr>
      <w:r>
        <w:rPr>
          <w:rFonts w:hint="eastAsia" w:ascii="宋体" w:hAnsi="宋体"/>
          <w:color w:val="auto"/>
          <w:kern w:val="0"/>
          <w:highlight w:val="none"/>
        </w:rPr>
        <w:t>比选申请人：</w:t>
      </w:r>
      <w:r>
        <w:rPr>
          <w:rFonts w:hint="eastAsia" w:ascii="宋体" w:hAnsi="宋体"/>
          <w:color w:val="auto"/>
          <w:kern w:val="0"/>
          <w:highlight w:val="none"/>
          <w:u w:val="single"/>
        </w:rPr>
        <w:t xml:space="preserve">                          </w:t>
      </w:r>
      <w:r>
        <w:rPr>
          <w:rFonts w:hint="eastAsia" w:ascii="宋体" w:hAnsi="宋体"/>
          <w:color w:val="auto"/>
          <w:kern w:val="0"/>
          <w:highlight w:val="none"/>
        </w:rPr>
        <w:t xml:space="preserve">（盖单位法人章） </w:t>
      </w:r>
    </w:p>
    <w:p w14:paraId="13BE598E">
      <w:pPr>
        <w:autoSpaceDE w:val="0"/>
        <w:autoSpaceDN w:val="0"/>
        <w:adjustRightInd w:val="0"/>
        <w:spacing w:line="369" w:lineRule="auto"/>
        <w:ind w:right="210" w:firstLine="1995" w:firstLineChars="950"/>
        <w:rPr>
          <w:rFonts w:ascii="宋体" w:hAnsi="宋体"/>
          <w:color w:val="auto"/>
          <w:kern w:val="0"/>
          <w:highlight w:val="none"/>
        </w:rPr>
      </w:pPr>
      <w:r>
        <w:rPr>
          <w:rFonts w:hint="eastAsia" w:ascii="宋体" w:hAnsi="宋体"/>
          <w:color w:val="auto"/>
          <w:kern w:val="0"/>
          <w:highlight w:val="none"/>
        </w:rPr>
        <w:t>法定代表人或委托代理人：</w:t>
      </w:r>
      <w:r>
        <w:rPr>
          <w:rFonts w:hint="eastAsia" w:ascii="宋体" w:hAnsi="宋体"/>
          <w:color w:val="auto"/>
          <w:kern w:val="0"/>
          <w:highlight w:val="none"/>
          <w:u w:val="single"/>
        </w:rPr>
        <w:t xml:space="preserve">          </w:t>
      </w:r>
      <w:r>
        <w:rPr>
          <w:rFonts w:hint="eastAsia" w:ascii="宋体" w:hAnsi="宋体"/>
          <w:color w:val="auto"/>
          <w:kern w:val="0"/>
          <w:highlight w:val="none"/>
          <w:u w:val="single"/>
        </w:rPr>
        <w:tab/>
      </w:r>
      <w:r>
        <w:rPr>
          <w:rFonts w:hint="eastAsia" w:ascii="宋体" w:hAnsi="宋体"/>
          <w:color w:val="auto"/>
          <w:kern w:val="0"/>
          <w:highlight w:val="none"/>
        </w:rPr>
        <w:t xml:space="preserve">（签名） </w:t>
      </w:r>
    </w:p>
    <w:p w14:paraId="08DFC7CA">
      <w:pPr>
        <w:autoSpaceDE w:val="0"/>
        <w:autoSpaceDN w:val="0"/>
        <w:adjustRightInd w:val="0"/>
        <w:spacing w:line="369" w:lineRule="auto"/>
        <w:ind w:right="210" w:firstLine="1984" w:firstLineChars="945"/>
        <w:rPr>
          <w:rFonts w:ascii="宋体" w:hAnsi="宋体"/>
          <w:color w:val="auto"/>
          <w:kern w:val="0"/>
          <w:highlight w:val="none"/>
        </w:rPr>
      </w:pPr>
      <w:r>
        <w:rPr>
          <w:rFonts w:hint="eastAsia" w:ascii="宋体" w:hAnsi="宋体"/>
          <w:color w:val="auto"/>
          <w:kern w:val="0"/>
          <w:highlight w:val="none"/>
        </w:rPr>
        <w:t>地址：</w:t>
      </w:r>
      <w:r>
        <w:rPr>
          <w:rFonts w:hint="eastAsia" w:ascii="宋体" w:hAnsi="宋体"/>
          <w:color w:val="auto"/>
          <w:kern w:val="0"/>
          <w:highlight w:val="none"/>
          <w:u w:val="single"/>
        </w:rPr>
        <w:t xml:space="preserve">                            </w:t>
      </w:r>
      <w:r>
        <w:rPr>
          <w:rFonts w:hint="eastAsia" w:ascii="宋体" w:hAnsi="宋体"/>
          <w:color w:val="auto"/>
          <w:kern w:val="0"/>
          <w:highlight w:val="none"/>
          <w:u w:val="single"/>
        </w:rPr>
        <w:tab/>
      </w:r>
    </w:p>
    <w:p w14:paraId="6EA4C876">
      <w:pPr>
        <w:autoSpaceDE w:val="0"/>
        <w:autoSpaceDN w:val="0"/>
        <w:adjustRightInd w:val="0"/>
        <w:spacing w:before="1"/>
        <w:ind w:left="1985" w:right="-20"/>
        <w:jc w:val="left"/>
        <w:rPr>
          <w:rFonts w:ascii="宋体" w:hAnsi="宋体"/>
          <w:color w:val="auto"/>
          <w:kern w:val="0"/>
          <w:highlight w:val="none"/>
        </w:rPr>
      </w:pPr>
      <w:r>
        <w:rPr>
          <w:rFonts w:hint="eastAsia" w:ascii="宋体" w:hAnsi="宋体"/>
          <w:color w:val="auto"/>
          <w:kern w:val="0"/>
          <w:highlight w:val="none"/>
        </w:rPr>
        <w:t>网址：</w:t>
      </w:r>
      <w:r>
        <w:rPr>
          <w:rFonts w:hint="eastAsia" w:ascii="宋体" w:hAnsi="宋体"/>
          <w:color w:val="auto"/>
          <w:kern w:val="0"/>
          <w:highlight w:val="none"/>
          <w:u w:val="single"/>
        </w:rPr>
        <w:t xml:space="preserve">                               </w:t>
      </w:r>
    </w:p>
    <w:p w14:paraId="3C196F8E">
      <w:pPr>
        <w:autoSpaceDE w:val="0"/>
        <w:autoSpaceDN w:val="0"/>
        <w:adjustRightInd w:val="0"/>
        <w:spacing w:before="14" w:line="200" w:lineRule="exact"/>
        <w:jc w:val="left"/>
        <w:rPr>
          <w:rFonts w:ascii="宋体" w:hAnsi="宋体"/>
          <w:color w:val="auto"/>
          <w:kern w:val="0"/>
          <w:sz w:val="20"/>
          <w:szCs w:val="20"/>
          <w:highlight w:val="none"/>
        </w:rPr>
      </w:pPr>
      <w:r>
        <w:rPr>
          <w:rFonts w:hint="eastAsia" w:ascii="宋体" w:hAnsi="宋体"/>
          <w:color w:val="auto"/>
          <w:kern w:val="0"/>
          <w:sz w:val="20"/>
          <w:szCs w:val="20"/>
          <w:highlight w:val="none"/>
        </w:rPr>
        <w:t xml:space="preserve">  </w:t>
      </w:r>
    </w:p>
    <w:p w14:paraId="552CFC4B">
      <w:pPr>
        <w:autoSpaceDE w:val="0"/>
        <w:autoSpaceDN w:val="0"/>
        <w:adjustRightInd w:val="0"/>
        <w:spacing w:line="220" w:lineRule="exact"/>
        <w:ind w:left="1985" w:right="-20"/>
        <w:jc w:val="left"/>
        <w:rPr>
          <w:rFonts w:ascii="宋体" w:hAnsi="宋体"/>
          <w:color w:val="auto"/>
          <w:kern w:val="0"/>
          <w:szCs w:val="21"/>
          <w:highlight w:val="none"/>
        </w:rPr>
      </w:pPr>
      <w:r>
        <w:rPr>
          <w:rFonts w:hint="eastAsia" w:ascii="宋体" w:hAnsi="宋体"/>
          <w:color w:val="auto"/>
          <w:kern w:val="0"/>
          <w:highlight w:val="none"/>
        </w:rPr>
        <w:t>电话：</w:t>
      </w:r>
      <w:r>
        <w:rPr>
          <w:rFonts w:hint="eastAsia" w:ascii="宋体" w:hAnsi="宋体"/>
          <w:color w:val="auto"/>
          <w:kern w:val="0"/>
          <w:highlight w:val="none"/>
          <w:u w:val="single"/>
        </w:rPr>
        <w:t xml:space="preserve">                               </w:t>
      </w:r>
    </w:p>
    <w:p w14:paraId="7BE49653">
      <w:pPr>
        <w:autoSpaceDE w:val="0"/>
        <w:autoSpaceDN w:val="0"/>
        <w:adjustRightInd w:val="0"/>
        <w:spacing w:before="13" w:line="200" w:lineRule="exact"/>
        <w:jc w:val="left"/>
        <w:rPr>
          <w:rFonts w:ascii="宋体" w:hAnsi="宋体"/>
          <w:color w:val="auto"/>
          <w:kern w:val="0"/>
          <w:sz w:val="20"/>
          <w:szCs w:val="20"/>
          <w:highlight w:val="none"/>
        </w:rPr>
      </w:pPr>
      <w:r>
        <w:rPr>
          <w:rFonts w:hint="eastAsia" w:ascii="宋体" w:hAnsi="宋体"/>
          <w:color w:val="auto"/>
          <w:kern w:val="0"/>
          <w:sz w:val="20"/>
          <w:szCs w:val="20"/>
          <w:highlight w:val="none"/>
        </w:rPr>
        <w:t xml:space="preserve"> </w:t>
      </w:r>
    </w:p>
    <w:p w14:paraId="49F68FB4">
      <w:pPr>
        <w:autoSpaceDE w:val="0"/>
        <w:autoSpaceDN w:val="0"/>
        <w:adjustRightInd w:val="0"/>
        <w:spacing w:line="220" w:lineRule="exact"/>
        <w:ind w:left="1985" w:right="-20"/>
        <w:jc w:val="left"/>
        <w:rPr>
          <w:rFonts w:ascii="宋体" w:hAnsi="宋体"/>
          <w:color w:val="auto"/>
          <w:kern w:val="0"/>
          <w:szCs w:val="21"/>
          <w:highlight w:val="none"/>
        </w:rPr>
      </w:pPr>
      <w:r>
        <w:rPr>
          <w:rFonts w:hint="eastAsia" w:ascii="宋体" w:hAnsi="宋体"/>
          <w:color w:val="auto"/>
          <w:kern w:val="0"/>
          <w:highlight w:val="none"/>
        </w:rPr>
        <w:t>传真：</w:t>
      </w:r>
      <w:r>
        <w:rPr>
          <w:rFonts w:hint="eastAsia" w:ascii="宋体" w:hAnsi="宋体"/>
          <w:color w:val="auto"/>
          <w:kern w:val="0"/>
          <w:highlight w:val="none"/>
          <w:u w:val="single"/>
        </w:rPr>
        <w:t xml:space="preserve">                               </w:t>
      </w:r>
    </w:p>
    <w:p w14:paraId="5D2AFFDB">
      <w:pPr>
        <w:autoSpaceDE w:val="0"/>
        <w:autoSpaceDN w:val="0"/>
        <w:adjustRightInd w:val="0"/>
        <w:spacing w:line="220" w:lineRule="exact"/>
        <w:ind w:left="3796" w:right="-20"/>
        <w:jc w:val="left"/>
        <w:rPr>
          <w:rFonts w:ascii="宋体" w:hAnsi="宋体"/>
          <w:color w:val="auto"/>
          <w:kern w:val="0"/>
          <w:highlight w:val="none"/>
        </w:rPr>
      </w:pPr>
      <w:r>
        <w:rPr>
          <w:rFonts w:hint="eastAsia" w:ascii="宋体" w:hAnsi="宋体"/>
          <w:color w:val="auto"/>
          <w:kern w:val="0"/>
          <w:highlight w:val="none"/>
        </w:rPr>
        <w:t xml:space="preserve"> </w:t>
      </w:r>
    </w:p>
    <w:p w14:paraId="1ABE6A41">
      <w:pPr>
        <w:autoSpaceDE w:val="0"/>
        <w:autoSpaceDN w:val="0"/>
        <w:adjustRightInd w:val="0"/>
        <w:spacing w:line="220" w:lineRule="exact"/>
        <w:ind w:left="1985" w:right="-20"/>
        <w:jc w:val="left"/>
        <w:rPr>
          <w:rFonts w:ascii="宋体" w:hAnsi="宋体"/>
          <w:color w:val="auto"/>
          <w:kern w:val="0"/>
          <w:sz w:val="20"/>
          <w:szCs w:val="20"/>
          <w:highlight w:val="none"/>
        </w:rPr>
      </w:pPr>
      <w:r>
        <w:rPr>
          <w:rFonts w:hint="eastAsia" w:ascii="宋体" w:hAnsi="宋体"/>
          <w:color w:val="auto"/>
          <w:kern w:val="0"/>
          <w:highlight w:val="none"/>
        </w:rPr>
        <w:t>邮政编码：</w:t>
      </w:r>
      <w:r>
        <w:rPr>
          <w:rFonts w:hint="eastAsia" w:ascii="宋体" w:hAnsi="宋体"/>
          <w:color w:val="auto"/>
          <w:kern w:val="0"/>
          <w:highlight w:val="none"/>
          <w:u w:val="single"/>
        </w:rPr>
        <w:t xml:space="preserve">                           </w:t>
      </w:r>
    </w:p>
    <w:p w14:paraId="32F578A6">
      <w:pPr>
        <w:autoSpaceDE w:val="0"/>
        <w:autoSpaceDN w:val="0"/>
        <w:adjustRightInd w:val="0"/>
        <w:spacing w:line="200" w:lineRule="exact"/>
        <w:jc w:val="left"/>
        <w:rPr>
          <w:rFonts w:ascii="宋体" w:hAnsi="宋体"/>
          <w:color w:val="auto"/>
          <w:kern w:val="0"/>
          <w:sz w:val="20"/>
          <w:szCs w:val="20"/>
          <w:highlight w:val="none"/>
        </w:rPr>
      </w:pPr>
      <w:r>
        <w:rPr>
          <w:rFonts w:hint="eastAsia" w:ascii="宋体" w:hAnsi="宋体"/>
          <w:color w:val="auto"/>
          <w:kern w:val="0"/>
          <w:sz w:val="20"/>
          <w:szCs w:val="20"/>
          <w:highlight w:val="none"/>
        </w:rPr>
        <w:t xml:space="preserve"> </w:t>
      </w:r>
    </w:p>
    <w:p w14:paraId="3F632866">
      <w:pPr>
        <w:autoSpaceDE w:val="0"/>
        <w:autoSpaceDN w:val="0"/>
        <w:adjustRightInd w:val="0"/>
        <w:spacing w:before="14" w:line="240" w:lineRule="exact"/>
        <w:jc w:val="left"/>
        <w:rPr>
          <w:rFonts w:ascii="宋体" w:hAnsi="宋体"/>
          <w:color w:val="auto"/>
          <w:kern w:val="0"/>
          <w:sz w:val="24"/>
          <w:highlight w:val="none"/>
        </w:rPr>
      </w:pPr>
      <w:r>
        <w:rPr>
          <w:rFonts w:hint="eastAsia" w:ascii="宋体" w:hAnsi="宋体"/>
          <w:color w:val="auto"/>
          <w:kern w:val="0"/>
          <w:sz w:val="24"/>
          <w:highlight w:val="none"/>
        </w:rPr>
        <w:t xml:space="preserve"> </w:t>
      </w:r>
    </w:p>
    <w:p w14:paraId="5E150386">
      <w:pPr>
        <w:pStyle w:val="2"/>
        <w:jc w:val="right"/>
        <w:rPr>
          <w:rFonts w:ascii="宋体" w:hAnsi="宋体"/>
          <w:color w:val="auto"/>
          <w:kern w:val="0"/>
          <w:highlight w:val="none"/>
        </w:rPr>
      </w:pP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14:paraId="4DF26DF9">
      <w:pPr>
        <w:rPr>
          <w:rFonts w:ascii="宋体" w:hAnsi="宋体"/>
          <w:color w:val="auto"/>
          <w:kern w:val="0"/>
          <w:highlight w:val="none"/>
        </w:rPr>
      </w:pPr>
    </w:p>
    <w:p w14:paraId="0BFFC3F0">
      <w:pPr>
        <w:pStyle w:val="2"/>
        <w:rPr>
          <w:rFonts w:ascii="宋体" w:hAnsi="宋体"/>
          <w:color w:val="auto"/>
          <w:kern w:val="0"/>
          <w:highlight w:val="none"/>
        </w:rPr>
      </w:pPr>
    </w:p>
    <w:p w14:paraId="383EA763">
      <w:pPr>
        <w:rPr>
          <w:rFonts w:ascii="宋体" w:hAnsi="宋体"/>
          <w:color w:val="auto"/>
          <w:kern w:val="0"/>
          <w:highlight w:val="none"/>
        </w:rPr>
      </w:pPr>
    </w:p>
    <w:p w14:paraId="51E5D9BC">
      <w:pPr>
        <w:tabs>
          <w:tab w:val="left" w:pos="6000"/>
          <w:tab w:val="left" w:pos="7040"/>
          <w:tab w:val="left" w:pos="8100"/>
        </w:tabs>
        <w:autoSpaceDE w:val="0"/>
        <w:autoSpaceDN w:val="0"/>
        <w:adjustRightInd w:val="0"/>
        <w:spacing w:line="220" w:lineRule="exact"/>
        <w:ind w:right="-20"/>
        <w:jc w:val="left"/>
        <w:rPr>
          <w:rFonts w:ascii="宋体" w:hAnsi="宋体"/>
          <w:color w:val="auto"/>
          <w:sz w:val="28"/>
          <w:highlight w:val="none"/>
        </w:rPr>
      </w:pPr>
    </w:p>
    <w:p w14:paraId="689FF45A">
      <w:pPr>
        <w:pStyle w:val="5"/>
        <w:jc w:val="center"/>
        <w:rPr>
          <w:rFonts w:ascii="宋体" w:hAnsi="宋体"/>
          <w:color w:val="auto"/>
          <w:sz w:val="28"/>
          <w:highlight w:val="none"/>
        </w:rPr>
      </w:pPr>
      <w:bookmarkStart w:id="2941" w:name="_Toc16000472"/>
      <w:bookmarkStart w:id="2942" w:name="_Toc3663"/>
      <w:bookmarkStart w:id="2943" w:name="_Toc17020"/>
      <w:bookmarkStart w:id="2944" w:name="_Toc31575"/>
      <w:r>
        <w:rPr>
          <w:rFonts w:hint="eastAsia" w:ascii="宋体" w:hAnsi="宋体"/>
          <w:color w:val="auto"/>
          <w:sz w:val="28"/>
          <w:highlight w:val="none"/>
        </w:rPr>
        <w:t>（二）</w:t>
      </w:r>
      <w:bookmarkEnd w:id="2933"/>
      <w:bookmarkEnd w:id="2934"/>
      <w:bookmarkEnd w:id="2935"/>
      <w:bookmarkEnd w:id="2936"/>
      <w:bookmarkEnd w:id="2937"/>
      <w:bookmarkEnd w:id="2938"/>
      <w:bookmarkEnd w:id="2939"/>
      <w:bookmarkEnd w:id="2940"/>
      <w:bookmarkStart w:id="2945" w:name="_Toc505076006"/>
      <w:bookmarkStart w:id="2946" w:name="_Toc11511"/>
      <w:bookmarkStart w:id="2947" w:name="_Toc483489913"/>
      <w:bookmarkStart w:id="2948" w:name="_Toc505783800"/>
      <w:bookmarkStart w:id="2949" w:name="_Toc287607869"/>
      <w:bookmarkStart w:id="2950" w:name="_Toc277082645"/>
      <w:bookmarkStart w:id="2951" w:name="_Toc493602577"/>
      <w:bookmarkStart w:id="2952" w:name="_Toc224103497"/>
      <w:r>
        <w:rPr>
          <w:rFonts w:hint="eastAsia" w:ascii="宋体" w:hAnsi="宋体"/>
          <w:color w:val="auto"/>
          <w:sz w:val="28"/>
          <w:highlight w:val="none"/>
        </w:rPr>
        <w:t>法定代表人身份证明及授权委托书</w:t>
      </w:r>
      <w:bookmarkEnd w:id="2941"/>
      <w:bookmarkEnd w:id="2942"/>
      <w:bookmarkEnd w:id="2943"/>
      <w:bookmarkEnd w:id="2944"/>
      <w:bookmarkEnd w:id="2945"/>
      <w:bookmarkEnd w:id="2946"/>
      <w:bookmarkEnd w:id="2947"/>
      <w:bookmarkEnd w:id="2948"/>
      <w:bookmarkEnd w:id="2949"/>
      <w:bookmarkEnd w:id="2950"/>
      <w:bookmarkEnd w:id="2951"/>
      <w:bookmarkEnd w:id="2952"/>
    </w:p>
    <w:p w14:paraId="6D7CC53E">
      <w:pPr>
        <w:jc w:val="center"/>
        <w:rPr>
          <w:b/>
          <w:color w:val="auto"/>
          <w:highlight w:val="none"/>
        </w:rPr>
      </w:pPr>
      <w:r>
        <w:rPr>
          <w:rFonts w:hint="eastAsia" w:ascii="宋体" w:hAnsi="宋体"/>
          <w:b/>
          <w:color w:val="auto"/>
          <w:sz w:val="28"/>
          <w:highlight w:val="none"/>
        </w:rPr>
        <w:t>法定代表人身份证明</w:t>
      </w:r>
    </w:p>
    <w:p w14:paraId="58075E99">
      <w:pPr>
        <w:ind w:left="765"/>
        <w:rPr>
          <w:rFonts w:ascii="宋体" w:hAnsi="宋体"/>
          <w:color w:val="auto"/>
          <w:highlight w:val="none"/>
        </w:rPr>
      </w:pPr>
    </w:p>
    <w:p w14:paraId="105F2C95">
      <w:pPr>
        <w:tabs>
          <w:tab w:val="left" w:pos="556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比选申请人名称：</w:t>
      </w:r>
      <w:r>
        <w:rPr>
          <w:rFonts w:hint="eastAsia" w:ascii="宋体" w:hAnsi="宋体"/>
          <w:color w:val="auto"/>
          <w:kern w:val="0"/>
          <w:szCs w:val="21"/>
          <w:highlight w:val="none"/>
          <w:u w:val="single"/>
        </w:rPr>
        <w:tab/>
      </w:r>
    </w:p>
    <w:p w14:paraId="3DC5B217">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177C1B63">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单位性质：</w:t>
      </w:r>
      <w:r>
        <w:rPr>
          <w:rFonts w:hint="eastAsia" w:ascii="宋体" w:hAnsi="宋体"/>
          <w:color w:val="auto"/>
          <w:kern w:val="0"/>
          <w:szCs w:val="21"/>
          <w:highlight w:val="none"/>
          <w:u w:val="single"/>
        </w:rPr>
        <w:tab/>
      </w:r>
    </w:p>
    <w:p w14:paraId="7F16387E">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7A6BF15A">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地址：</w:t>
      </w:r>
      <w:r>
        <w:rPr>
          <w:rFonts w:hint="eastAsia" w:ascii="宋体" w:hAnsi="宋体"/>
          <w:color w:val="auto"/>
          <w:kern w:val="0"/>
          <w:szCs w:val="21"/>
          <w:highlight w:val="none"/>
          <w:u w:val="single"/>
        </w:rPr>
        <w:tab/>
      </w:r>
    </w:p>
    <w:p w14:paraId="1E66CCE9">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531F59A5">
      <w:pPr>
        <w:tabs>
          <w:tab w:val="left" w:pos="2520"/>
          <w:tab w:val="left" w:pos="3836"/>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成立时间：</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年</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月</w:t>
      </w:r>
      <w:r>
        <w:rPr>
          <w:rFonts w:hint="eastAsia" w:ascii="宋体" w:hAnsi="宋体" w:cs="MingLiU"/>
          <w:color w:val="auto"/>
          <w:spacing w:val="-1"/>
          <w:kern w:val="0"/>
          <w:szCs w:val="21"/>
          <w:highlight w:val="none"/>
          <w:u w:val="single"/>
        </w:rPr>
        <w:t xml:space="preserve">             </w:t>
      </w:r>
      <w:r>
        <w:rPr>
          <w:rFonts w:hint="eastAsia" w:ascii="宋体" w:hAnsi="宋体" w:cs="MingLiU"/>
          <w:color w:val="auto"/>
          <w:kern w:val="0"/>
          <w:szCs w:val="21"/>
          <w:highlight w:val="none"/>
        </w:rPr>
        <w:t>日</w:t>
      </w:r>
    </w:p>
    <w:p w14:paraId="4158BA6C">
      <w:pPr>
        <w:autoSpaceDE w:val="0"/>
        <w:autoSpaceDN w:val="0"/>
        <w:adjustRightInd w:val="0"/>
        <w:snapToGrid w:val="0"/>
        <w:spacing w:line="360" w:lineRule="auto"/>
        <w:ind w:firstLine="186" w:firstLineChars="186"/>
        <w:jc w:val="left"/>
        <w:rPr>
          <w:rFonts w:ascii="宋体" w:hAnsi="宋体" w:cs="MingLiU"/>
          <w:color w:val="auto"/>
          <w:kern w:val="0"/>
          <w:sz w:val="10"/>
          <w:szCs w:val="10"/>
          <w:highlight w:val="none"/>
        </w:rPr>
      </w:pPr>
    </w:p>
    <w:p w14:paraId="4BE1539C">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经营期限：</w:t>
      </w:r>
      <w:r>
        <w:rPr>
          <w:rFonts w:hint="eastAsia" w:ascii="宋体" w:hAnsi="宋体"/>
          <w:color w:val="auto"/>
          <w:kern w:val="0"/>
          <w:szCs w:val="21"/>
          <w:highlight w:val="none"/>
          <w:u w:val="single"/>
        </w:rPr>
        <w:tab/>
      </w:r>
    </w:p>
    <w:p w14:paraId="19766543">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4D3CC7C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姓名：</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性别</w:t>
      </w:r>
      <w:r>
        <w:rPr>
          <w:rFonts w:hint="eastAsia" w:ascii="宋体" w:hAnsi="宋体" w:cs="MingLiU"/>
          <w:color w:val="auto"/>
          <w:spacing w:val="-1"/>
          <w:kern w:val="0"/>
          <w:szCs w:val="21"/>
          <w:highlight w:val="none"/>
        </w:rPr>
        <w:t>：</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年</w:t>
      </w:r>
      <w:r>
        <w:rPr>
          <w:rFonts w:hint="eastAsia" w:ascii="宋体" w:hAnsi="宋体" w:cs="MingLiU"/>
          <w:color w:val="auto"/>
          <w:kern w:val="0"/>
          <w:szCs w:val="21"/>
          <w:highlight w:val="none"/>
        </w:rPr>
        <w:t>龄：</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职务：</w:t>
      </w:r>
      <w:r>
        <w:rPr>
          <w:rFonts w:hint="eastAsia" w:ascii="宋体" w:hAnsi="宋体"/>
          <w:color w:val="auto"/>
          <w:kern w:val="0"/>
          <w:szCs w:val="21"/>
          <w:highlight w:val="none"/>
          <w:u w:val="single"/>
        </w:rPr>
        <w:tab/>
      </w:r>
    </w:p>
    <w:p w14:paraId="5C586737">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6F8E8E1D">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系</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（比选申请人名称）的法定代表人。</w:t>
      </w:r>
    </w:p>
    <w:p w14:paraId="7970E8DB">
      <w:pPr>
        <w:autoSpaceDE w:val="0"/>
        <w:autoSpaceDN w:val="0"/>
        <w:adjustRightInd w:val="0"/>
        <w:snapToGrid w:val="0"/>
        <w:spacing w:line="360" w:lineRule="auto"/>
        <w:ind w:firstLine="186" w:firstLineChars="186"/>
        <w:jc w:val="left"/>
        <w:rPr>
          <w:rFonts w:ascii="宋体" w:hAnsi="宋体" w:cs="MingLiU"/>
          <w:color w:val="auto"/>
          <w:kern w:val="0"/>
          <w:sz w:val="10"/>
          <w:szCs w:val="10"/>
          <w:highlight w:val="none"/>
        </w:rPr>
      </w:pPr>
    </w:p>
    <w:p w14:paraId="5A660E1E">
      <w:pPr>
        <w:autoSpaceDE w:val="0"/>
        <w:autoSpaceDN w:val="0"/>
        <w:adjustRightInd w:val="0"/>
        <w:snapToGrid w:val="0"/>
        <w:spacing w:line="360" w:lineRule="auto"/>
        <w:ind w:firstLine="810" w:firstLineChars="386"/>
        <w:jc w:val="left"/>
        <w:rPr>
          <w:rFonts w:ascii="宋体" w:hAnsi="宋体" w:cs="MingLiU"/>
          <w:color w:val="auto"/>
          <w:kern w:val="0"/>
          <w:szCs w:val="21"/>
          <w:highlight w:val="none"/>
        </w:rPr>
      </w:pPr>
      <w:r>
        <w:rPr>
          <w:rFonts w:hint="eastAsia" w:ascii="宋体" w:hAnsi="宋体" w:cs="MingLiU"/>
          <w:color w:val="auto"/>
          <w:kern w:val="0"/>
          <w:szCs w:val="21"/>
          <w:highlight w:val="none"/>
        </w:rPr>
        <w:t>特此证明。</w:t>
      </w:r>
    </w:p>
    <w:tbl>
      <w:tblPr>
        <w:tblStyle w:val="46"/>
        <w:tblpPr w:leftFromText="180" w:rightFromText="180" w:vertAnchor="text" w:horzAnchor="page" w:tblpX="3010" w:tblpY="294"/>
        <w:tblW w:w="625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6255"/>
      </w:tblGrid>
      <w:tr w14:paraId="38F28AF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85" w:hRule="atLeast"/>
        </w:trPr>
        <w:tc>
          <w:tcPr>
            <w:tcW w:w="6255" w:type="dxa"/>
          </w:tcPr>
          <w:p w14:paraId="4B76CBAB">
            <w:pPr>
              <w:spacing w:line="360" w:lineRule="auto"/>
              <w:ind w:firstLine="281" w:firstLineChars="100"/>
              <w:jc w:val="center"/>
              <w:rPr>
                <w:rFonts w:ascii="宋体" w:hAnsi="宋体"/>
                <w:b/>
                <w:color w:val="auto"/>
                <w:sz w:val="28"/>
                <w:highlight w:val="none"/>
              </w:rPr>
            </w:pPr>
            <w:r>
              <w:rPr>
                <w:rFonts w:hint="eastAsia" w:ascii="宋体" w:hAnsi="宋体"/>
                <w:b/>
                <w:color w:val="auto"/>
                <w:sz w:val="28"/>
                <w:highlight w:val="none"/>
              </w:rPr>
              <w:t>法定代表人身份证复印件（正、反面）</w:t>
            </w:r>
          </w:p>
          <w:p w14:paraId="34577BF1">
            <w:pPr>
              <w:spacing w:line="360" w:lineRule="auto"/>
              <w:rPr>
                <w:rFonts w:ascii="宋体" w:hAnsi="宋体"/>
                <w:b/>
                <w:color w:val="auto"/>
                <w:sz w:val="28"/>
                <w:highlight w:val="none"/>
              </w:rPr>
            </w:pPr>
          </w:p>
        </w:tc>
      </w:tr>
    </w:tbl>
    <w:p w14:paraId="26384650">
      <w:pPr>
        <w:autoSpaceDE w:val="0"/>
        <w:autoSpaceDN w:val="0"/>
        <w:adjustRightInd w:val="0"/>
        <w:snapToGrid w:val="0"/>
        <w:spacing w:line="360" w:lineRule="auto"/>
        <w:jc w:val="left"/>
        <w:rPr>
          <w:rFonts w:ascii="宋体" w:hAnsi="宋体" w:cs="MingLiU"/>
          <w:color w:val="auto"/>
          <w:kern w:val="0"/>
          <w:sz w:val="18"/>
          <w:szCs w:val="18"/>
          <w:highlight w:val="none"/>
        </w:rPr>
      </w:pPr>
    </w:p>
    <w:p w14:paraId="51AD1899">
      <w:pPr>
        <w:autoSpaceDE w:val="0"/>
        <w:autoSpaceDN w:val="0"/>
        <w:adjustRightInd w:val="0"/>
        <w:snapToGrid w:val="0"/>
        <w:spacing w:line="360" w:lineRule="auto"/>
        <w:jc w:val="left"/>
        <w:rPr>
          <w:rFonts w:ascii="宋体" w:hAnsi="宋体" w:cs="MingLiU"/>
          <w:color w:val="auto"/>
          <w:kern w:val="0"/>
          <w:sz w:val="20"/>
          <w:szCs w:val="20"/>
          <w:highlight w:val="none"/>
        </w:rPr>
      </w:pPr>
    </w:p>
    <w:p w14:paraId="74C612BB">
      <w:pPr>
        <w:autoSpaceDE w:val="0"/>
        <w:autoSpaceDN w:val="0"/>
        <w:adjustRightInd w:val="0"/>
        <w:snapToGrid w:val="0"/>
        <w:spacing w:line="360" w:lineRule="auto"/>
        <w:jc w:val="left"/>
        <w:rPr>
          <w:rFonts w:ascii="宋体" w:hAnsi="宋体" w:cs="MingLiU"/>
          <w:color w:val="auto"/>
          <w:kern w:val="0"/>
          <w:sz w:val="20"/>
          <w:szCs w:val="20"/>
          <w:highlight w:val="none"/>
        </w:rPr>
      </w:pPr>
    </w:p>
    <w:p w14:paraId="54860203">
      <w:pPr>
        <w:autoSpaceDE w:val="0"/>
        <w:autoSpaceDN w:val="0"/>
        <w:adjustRightInd w:val="0"/>
        <w:snapToGrid w:val="0"/>
        <w:spacing w:line="360" w:lineRule="auto"/>
        <w:jc w:val="left"/>
        <w:rPr>
          <w:rFonts w:ascii="宋体" w:hAnsi="宋体" w:cs="MingLiU"/>
          <w:color w:val="auto"/>
          <w:kern w:val="0"/>
          <w:sz w:val="20"/>
          <w:szCs w:val="20"/>
          <w:highlight w:val="none"/>
        </w:rPr>
      </w:pPr>
    </w:p>
    <w:p w14:paraId="3E41C683">
      <w:pPr>
        <w:autoSpaceDE w:val="0"/>
        <w:autoSpaceDN w:val="0"/>
        <w:adjustRightInd w:val="0"/>
        <w:snapToGrid w:val="0"/>
        <w:spacing w:line="360" w:lineRule="auto"/>
        <w:jc w:val="left"/>
        <w:rPr>
          <w:rFonts w:ascii="宋体" w:hAnsi="宋体" w:cs="MingLiU"/>
          <w:color w:val="auto"/>
          <w:kern w:val="0"/>
          <w:sz w:val="20"/>
          <w:szCs w:val="20"/>
          <w:highlight w:val="none"/>
        </w:rPr>
      </w:pPr>
    </w:p>
    <w:p w14:paraId="58C6DFE5">
      <w:pPr>
        <w:tabs>
          <w:tab w:val="left" w:pos="5460"/>
        </w:tabs>
        <w:autoSpaceDE w:val="0"/>
        <w:autoSpaceDN w:val="0"/>
        <w:adjustRightInd w:val="0"/>
        <w:snapToGrid w:val="0"/>
        <w:spacing w:line="360" w:lineRule="auto"/>
        <w:ind w:firstLine="2100"/>
        <w:jc w:val="left"/>
        <w:rPr>
          <w:rFonts w:ascii="宋体" w:hAnsi="宋体" w:cs="MingLiU"/>
          <w:color w:val="auto"/>
          <w:kern w:val="0"/>
          <w:szCs w:val="21"/>
          <w:highlight w:val="none"/>
        </w:rPr>
      </w:pPr>
      <w:r>
        <w:rPr>
          <w:rFonts w:hint="eastAsia" w:ascii="宋体" w:hAnsi="宋体" w:cs="MingLiU"/>
          <w:color w:val="auto"/>
          <w:kern w:val="0"/>
          <w:szCs w:val="21"/>
          <w:highlight w:val="none"/>
        </w:rPr>
        <w:t>比选申请人：</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w:t>
      </w:r>
      <w:r>
        <w:rPr>
          <w:rFonts w:hint="eastAsia" w:ascii="宋体" w:hAnsi="宋体" w:cs="MingLiU"/>
          <w:color w:val="auto"/>
          <w:kern w:val="0"/>
          <w:szCs w:val="21"/>
          <w:highlight w:val="none"/>
        </w:rPr>
        <w:t>盖单位法人章）</w:t>
      </w:r>
    </w:p>
    <w:p w14:paraId="2EADA6CA">
      <w:pPr>
        <w:autoSpaceDE w:val="0"/>
        <w:autoSpaceDN w:val="0"/>
        <w:adjustRightInd w:val="0"/>
        <w:snapToGrid w:val="0"/>
        <w:spacing w:line="360" w:lineRule="auto"/>
        <w:jc w:val="left"/>
        <w:rPr>
          <w:rFonts w:ascii="宋体" w:hAnsi="宋体" w:cs="MingLiU"/>
          <w:color w:val="auto"/>
          <w:kern w:val="0"/>
          <w:sz w:val="20"/>
          <w:szCs w:val="20"/>
          <w:highlight w:val="none"/>
        </w:rPr>
      </w:pPr>
    </w:p>
    <w:p w14:paraId="4907D631">
      <w:pPr>
        <w:tabs>
          <w:tab w:val="left" w:pos="4935"/>
          <w:tab w:val="left" w:pos="5460"/>
          <w:tab w:val="left" w:pos="6400"/>
        </w:tabs>
        <w:wordWrap w:val="0"/>
        <w:autoSpaceDE w:val="0"/>
        <w:autoSpaceDN w:val="0"/>
        <w:adjustRightInd w:val="0"/>
        <w:snapToGrid w:val="0"/>
        <w:spacing w:line="360" w:lineRule="auto"/>
        <w:ind w:firstLine="3780"/>
        <w:jc w:val="right"/>
        <w:rPr>
          <w:rFonts w:ascii="宋体" w:hAnsi="宋体" w:cs="MingLiU"/>
          <w:color w:val="auto"/>
          <w:kern w:val="0"/>
          <w:szCs w:val="21"/>
          <w:highlight w:val="none"/>
        </w:rPr>
      </w:pPr>
      <w:r>
        <w:rPr>
          <w:rFonts w:hint="eastAsia" w:ascii="宋体" w:hAnsi="宋体" w:cs="MingLiU"/>
          <w:color w:val="auto"/>
          <w:spacing w:val="-1"/>
          <w:kern w:val="0"/>
          <w:szCs w:val="21"/>
          <w:highlight w:val="none"/>
        </w:rPr>
        <w:t xml:space="preserve">年   </w:t>
      </w:r>
      <w:r>
        <w:rPr>
          <w:rFonts w:hint="eastAsia" w:ascii="宋体" w:hAnsi="宋体" w:cs="MingLiU"/>
          <w:color w:val="auto"/>
          <w:kern w:val="0"/>
          <w:szCs w:val="21"/>
          <w:highlight w:val="none"/>
        </w:rPr>
        <w:t>月   日</w:t>
      </w:r>
    </w:p>
    <w:p w14:paraId="3640886A">
      <w:pPr>
        <w:autoSpaceDE w:val="0"/>
        <w:autoSpaceDN w:val="0"/>
        <w:adjustRightInd w:val="0"/>
        <w:snapToGrid w:val="0"/>
        <w:spacing w:line="360" w:lineRule="auto"/>
        <w:ind w:firstLine="420" w:firstLineChars="200"/>
        <w:jc w:val="left"/>
        <w:rPr>
          <w:rFonts w:ascii="宋体" w:hAnsi="宋体"/>
          <w:color w:val="auto"/>
          <w:kern w:val="0"/>
          <w:highlight w:val="none"/>
          <w:u w:val="single"/>
        </w:rPr>
      </w:pPr>
      <w:r>
        <w:rPr>
          <w:rFonts w:hint="eastAsia" w:ascii="宋体" w:hAnsi="宋体"/>
          <w:color w:val="auto"/>
          <w:kern w:val="0"/>
          <w:highlight w:val="none"/>
          <w:u w:val="single"/>
        </w:rPr>
        <w:t>注：法定代表人身份证明需按上述格式填写完整，不可缺少内容。在此基础上增加内容的不影响其有效性。</w:t>
      </w:r>
    </w:p>
    <w:p w14:paraId="6C626FC3">
      <w:pPr>
        <w:autoSpaceDE w:val="0"/>
        <w:autoSpaceDN w:val="0"/>
        <w:adjustRightInd w:val="0"/>
        <w:snapToGrid w:val="0"/>
        <w:spacing w:line="360" w:lineRule="auto"/>
        <w:jc w:val="left"/>
        <w:rPr>
          <w:rFonts w:ascii="宋体" w:hAnsi="宋体"/>
          <w:color w:val="auto"/>
          <w:kern w:val="0"/>
          <w:highlight w:val="none"/>
        </w:rPr>
      </w:pPr>
    </w:p>
    <w:p w14:paraId="2B611AB8">
      <w:pPr>
        <w:autoSpaceDE w:val="0"/>
        <w:autoSpaceDN w:val="0"/>
        <w:adjustRightInd w:val="0"/>
        <w:snapToGrid w:val="0"/>
        <w:spacing w:line="360" w:lineRule="auto"/>
        <w:jc w:val="left"/>
        <w:rPr>
          <w:rFonts w:ascii="宋体" w:hAnsi="宋体"/>
          <w:color w:val="auto"/>
          <w:kern w:val="0"/>
          <w:highlight w:val="none"/>
        </w:rPr>
      </w:pPr>
    </w:p>
    <w:p w14:paraId="21E5B3DD">
      <w:pPr>
        <w:autoSpaceDE w:val="0"/>
        <w:autoSpaceDN w:val="0"/>
        <w:adjustRightInd w:val="0"/>
        <w:snapToGrid w:val="0"/>
        <w:spacing w:line="360" w:lineRule="auto"/>
        <w:jc w:val="left"/>
        <w:rPr>
          <w:rFonts w:ascii="宋体" w:hAnsi="宋体"/>
          <w:color w:val="auto"/>
          <w:kern w:val="0"/>
          <w:highlight w:val="none"/>
        </w:rPr>
      </w:pPr>
    </w:p>
    <w:p w14:paraId="57F1D4B9">
      <w:pPr>
        <w:autoSpaceDE w:val="0"/>
        <w:autoSpaceDN w:val="0"/>
        <w:adjustRightInd w:val="0"/>
        <w:snapToGrid w:val="0"/>
        <w:spacing w:line="360" w:lineRule="auto"/>
        <w:jc w:val="left"/>
        <w:rPr>
          <w:rFonts w:ascii="宋体" w:hAnsi="宋体"/>
          <w:color w:val="auto"/>
          <w:kern w:val="0"/>
          <w:highlight w:val="none"/>
        </w:rPr>
      </w:pPr>
    </w:p>
    <w:p w14:paraId="7E085A29">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color w:val="auto"/>
          <w:kern w:val="0"/>
          <w:sz w:val="28"/>
          <w:szCs w:val="28"/>
          <w:highlight w:val="none"/>
        </w:rPr>
      </w:pPr>
      <w:r>
        <w:rPr>
          <w:rFonts w:hint="eastAsia" w:ascii="宋体" w:hAnsi="宋体" w:cs="MingLiU"/>
          <w:b/>
          <w:color w:val="auto"/>
          <w:kern w:val="0"/>
          <w:sz w:val="28"/>
          <w:szCs w:val="28"/>
          <w:highlight w:val="none"/>
        </w:rPr>
        <w:t>授权委托书</w:t>
      </w:r>
    </w:p>
    <w:p w14:paraId="64925052">
      <w:pPr>
        <w:autoSpaceDE w:val="0"/>
        <w:autoSpaceDN w:val="0"/>
        <w:adjustRightInd w:val="0"/>
        <w:snapToGrid w:val="0"/>
        <w:spacing w:line="360" w:lineRule="auto"/>
        <w:jc w:val="left"/>
        <w:rPr>
          <w:rFonts w:ascii="宋体" w:hAnsi="宋体" w:cs="MingLiU"/>
          <w:color w:val="auto"/>
          <w:kern w:val="0"/>
          <w:sz w:val="20"/>
          <w:szCs w:val="20"/>
          <w:highlight w:val="none"/>
        </w:rPr>
      </w:pPr>
    </w:p>
    <w:p w14:paraId="51EB140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highlight w:val="none"/>
        </w:rPr>
      </w:pPr>
      <w:r>
        <w:rPr>
          <w:rFonts w:hint="eastAsia" w:ascii="宋体" w:hAnsi="宋体" w:cs="MingLiU"/>
          <w:color w:val="auto"/>
          <w:kern w:val="0"/>
          <w:szCs w:val="21"/>
          <w:highlight w:val="none"/>
        </w:rPr>
        <w:t>本人</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（姓名）系</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w:t>
      </w:r>
      <w:r>
        <w:rPr>
          <w:rFonts w:hint="eastAsia" w:ascii="宋体" w:hAnsi="宋体" w:cs="MingLiU"/>
          <w:color w:val="auto"/>
          <w:spacing w:val="-1"/>
          <w:kern w:val="0"/>
          <w:szCs w:val="21"/>
          <w:highlight w:val="none"/>
        </w:rPr>
        <w:t>比选申请人</w:t>
      </w:r>
      <w:r>
        <w:rPr>
          <w:rFonts w:hint="eastAsia" w:ascii="宋体" w:hAnsi="宋体" w:cs="MingLiU"/>
          <w:color w:val="auto"/>
          <w:kern w:val="0"/>
          <w:szCs w:val="21"/>
          <w:highlight w:val="none"/>
        </w:rPr>
        <w:t>名称</w:t>
      </w:r>
      <w:r>
        <w:rPr>
          <w:rFonts w:hint="eastAsia" w:ascii="宋体" w:hAnsi="宋体" w:cs="MingLiU"/>
          <w:color w:val="auto"/>
          <w:spacing w:val="1"/>
          <w:kern w:val="0"/>
          <w:szCs w:val="21"/>
          <w:highlight w:val="none"/>
        </w:rPr>
        <w:t>）</w:t>
      </w:r>
      <w:r>
        <w:rPr>
          <w:rFonts w:hint="eastAsia" w:ascii="宋体" w:hAnsi="宋体" w:cs="MingLiU"/>
          <w:color w:val="auto"/>
          <w:kern w:val="0"/>
          <w:szCs w:val="21"/>
          <w:highlight w:val="none"/>
        </w:rPr>
        <w:t>的法定代</w:t>
      </w:r>
      <w:r>
        <w:rPr>
          <w:rFonts w:hint="eastAsia" w:ascii="宋体" w:hAnsi="宋体" w:cs="MingLiU"/>
          <w:color w:val="auto"/>
          <w:spacing w:val="1"/>
          <w:kern w:val="0"/>
          <w:szCs w:val="21"/>
          <w:highlight w:val="none"/>
        </w:rPr>
        <w:t>表</w:t>
      </w:r>
      <w:r>
        <w:rPr>
          <w:rFonts w:hint="eastAsia" w:ascii="宋体" w:hAnsi="宋体" w:cs="MingLiU"/>
          <w:color w:val="auto"/>
          <w:kern w:val="0"/>
          <w:szCs w:val="21"/>
          <w:highlight w:val="none"/>
        </w:rPr>
        <w:t>人，现委托</w:t>
      </w:r>
      <w:r>
        <w:rPr>
          <w:rFonts w:hint="eastAsia" w:ascii="宋体" w:hAnsi="宋体" w:cs="MingLiU"/>
          <w:color w:val="auto"/>
          <w:kern w:val="0"/>
          <w:szCs w:val="21"/>
          <w:highlight w:val="none"/>
          <w:lang w:val="en-US" w:eastAsia="zh-CN"/>
        </w:rPr>
        <w:t xml:space="preserve"> </w:t>
      </w:r>
      <w:r>
        <w:rPr>
          <w:rFonts w:hint="eastAsia" w:ascii="宋体" w:hAnsi="宋体"/>
          <w:color w:val="auto"/>
          <w:kern w:val="0"/>
          <w:szCs w:val="21"/>
          <w:highlight w:val="none"/>
          <w:u w:val="single"/>
        </w:rPr>
        <w:tab/>
      </w:r>
      <w:r>
        <w:rPr>
          <w:rFonts w:hint="eastAsia" w:ascii="宋体" w:hAnsi="宋体"/>
          <w:color w:val="auto"/>
          <w:kern w:val="0"/>
          <w:szCs w:val="21"/>
          <w:highlight w:val="none"/>
          <w:u w:val="single"/>
          <w:lang w:val="en-US" w:eastAsia="zh-CN"/>
        </w:rPr>
        <w:t xml:space="preserve">    </w:t>
      </w:r>
      <w:r>
        <w:rPr>
          <w:rFonts w:hint="eastAsia" w:ascii="宋体" w:hAnsi="宋体" w:cs="MingLiU"/>
          <w:color w:val="auto"/>
          <w:kern w:val="0"/>
          <w:szCs w:val="21"/>
          <w:highlight w:val="none"/>
        </w:rPr>
        <w:t>（姓名）为我方代理人。代理人根据授权，以我方名义签署、澄清、说明、补正、递交、撤回、修改</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（项</w:t>
      </w:r>
      <w:r>
        <w:rPr>
          <w:rFonts w:hint="eastAsia" w:ascii="宋体" w:hAnsi="宋体" w:cs="MingLiU"/>
          <w:color w:val="auto"/>
          <w:spacing w:val="-1"/>
          <w:kern w:val="0"/>
          <w:szCs w:val="21"/>
          <w:highlight w:val="none"/>
        </w:rPr>
        <w:t>目</w:t>
      </w:r>
      <w:r>
        <w:rPr>
          <w:rFonts w:hint="eastAsia" w:ascii="宋体" w:hAnsi="宋体" w:cs="MingLiU"/>
          <w:color w:val="auto"/>
          <w:kern w:val="0"/>
          <w:szCs w:val="21"/>
          <w:highlight w:val="none"/>
        </w:rPr>
        <w:t>名称）施工比选申请文件、签订合同和处理有关事宜，其法律后果由我方承担。</w:t>
      </w:r>
    </w:p>
    <w:p w14:paraId="5723A56B">
      <w:pPr>
        <w:tabs>
          <w:tab w:val="left" w:pos="2205"/>
          <w:tab w:val="left" w:pos="4215"/>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hint="eastAsia" w:ascii="宋体" w:hAnsi="宋体" w:cs="MingLiU"/>
          <w:color w:val="auto"/>
          <w:kern w:val="0"/>
          <w:szCs w:val="21"/>
          <w:highlight w:val="none"/>
        </w:rPr>
        <w:t>委托</w:t>
      </w:r>
      <w:r>
        <w:rPr>
          <w:rFonts w:hint="eastAsia" w:ascii="宋体" w:hAnsi="宋体" w:cs="MingLiU"/>
          <w:color w:val="auto"/>
          <w:spacing w:val="-1"/>
          <w:kern w:val="0"/>
          <w:szCs w:val="21"/>
          <w:highlight w:val="none"/>
        </w:rPr>
        <w:t>期</w:t>
      </w:r>
      <w:r>
        <w:rPr>
          <w:rFonts w:hint="eastAsia" w:ascii="宋体" w:hAnsi="宋体" w:cs="MingLiU"/>
          <w:color w:val="auto"/>
          <w:kern w:val="0"/>
          <w:szCs w:val="21"/>
          <w:highlight w:val="none"/>
        </w:rPr>
        <w:t>限：</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w:t>
      </w:r>
    </w:p>
    <w:p w14:paraId="0287557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highlight w:val="none"/>
        </w:rPr>
      </w:pPr>
      <w:r>
        <w:rPr>
          <w:rFonts w:hint="eastAsia" w:ascii="宋体" w:hAnsi="宋体" w:cs="MingLiU"/>
          <w:color w:val="auto"/>
          <w:kern w:val="0"/>
          <w:szCs w:val="21"/>
          <w:highlight w:val="none"/>
        </w:rPr>
        <w:t>代理人无转委托权。</w:t>
      </w:r>
    </w:p>
    <w:p w14:paraId="0F510A9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 w:val="20"/>
          <w:szCs w:val="20"/>
          <w:highlight w:val="none"/>
        </w:rPr>
      </w:pPr>
      <w:r>
        <w:rPr>
          <w:rFonts w:hint="eastAsia" w:ascii="宋体" w:hAnsi="宋体" w:cs="MingLiU"/>
          <w:color w:val="auto"/>
          <w:kern w:val="0"/>
          <w:szCs w:val="21"/>
          <w:highlight w:val="none"/>
        </w:rPr>
        <w:t>附：法定代表人身份证明。</w:t>
      </w:r>
    </w:p>
    <w:p w14:paraId="3E5B9DBC">
      <w:pPr>
        <w:tabs>
          <w:tab w:val="left" w:pos="6720"/>
        </w:tabs>
        <w:autoSpaceDE w:val="0"/>
        <w:autoSpaceDN w:val="0"/>
        <w:adjustRightInd w:val="0"/>
        <w:snapToGrid w:val="0"/>
        <w:spacing w:line="360" w:lineRule="auto"/>
        <w:ind w:firstLine="1694"/>
        <w:jc w:val="left"/>
        <w:rPr>
          <w:rFonts w:ascii="宋体" w:hAnsi="宋体"/>
          <w:color w:val="auto"/>
          <w:kern w:val="0"/>
          <w:szCs w:val="21"/>
          <w:highlight w:val="none"/>
        </w:rPr>
      </w:pPr>
      <w:r>
        <w:rPr>
          <w:rFonts w:hint="eastAsia" w:ascii="宋体" w:hAnsi="宋体" w:cs="MingLiU"/>
          <w:color w:val="auto"/>
          <w:kern w:val="0"/>
          <w:szCs w:val="21"/>
          <w:highlight w:val="none"/>
        </w:rPr>
        <w:t>比选申请人：</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w:t>
      </w:r>
      <w:r>
        <w:rPr>
          <w:rFonts w:hint="eastAsia" w:ascii="宋体" w:hAnsi="宋体" w:cs="MingLiU"/>
          <w:color w:val="auto"/>
          <w:spacing w:val="-1"/>
          <w:kern w:val="0"/>
          <w:szCs w:val="21"/>
          <w:highlight w:val="none"/>
        </w:rPr>
        <w:t>盖</w:t>
      </w:r>
      <w:r>
        <w:rPr>
          <w:rFonts w:hint="eastAsia" w:ascii="宋体" w:hAnsi="宋体" w:cs="MingLiU"/>
          <w:color w:val="auto"/>
          <w:kern w:val="0"/>
          <w:szCs w:val="21"/>
          <w:highlight w:val="none"/>
        </w:rPr>
        <w:t>单位法人章）</w:t>
      </w:r>
    </w:p>
    <w:p w14:paraId="62AFB7CD">
      <w:pPr>
        <w:tabs>
          <w:tab w:val="left" w:pos="6300"/>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法定代表人：</w:t>
      </w:r>
      <w:r>
        <w:rPr>
          <w:rFonts w:hint="eastAsia" w:ascii="宋体" w:hAnsi="宋体"/>
          <w:color w:val="auto"/>
          <w:kern w:val="0"/>
          <w:szCs w:val="21"/>
          <w:highlight w:val="none"/>
          <w:u w:val="single"/>
        </w:rPr>
        <w:tab/>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（签名）</w:t>
      </w:r>
    </w:p>
    <w:p w14:paraId="384059B2">
      <w:pPr>
        <w:tabs>
          <w:tab w:val="left" w:pos="6735"/>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身份证号码：</w:t>
      </w:r>
      <w:r>
        <w:rPr>
          <w:rFonts w:hint="eastAsia" w:ascii="宋体" w:hAnsi="宋体"/>
          <w:color w:val="auto"/>
          <w:kern w:val="0"/>
          <w:szCs w:val="21"/>
          <w:highlight w:val="none"/>
          <w:u w:val="single"/>
        </w:rPr>
        <w:tab/>
      </w:r>
    </w:p>
    <w:p w14:paraId="4E145036">
      <w:pPr>
        <w:tabs>
          <w:tab w:val="left" w:pos="6720"/>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委托代理人：</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（签</w:t>
      </w:r>
      <w:r>
        <w:rPr>
          <w:rFonts w:hint="eastAsia" w:ascii="宋体" w:hAnsi="宋体" w:cs="MingLiU"/>
          <w:color w:val="auto"/>
          <w:spacing w:val="-1"/>
          <w:kern w:val="0"/>
          <w:szCs w:val="21"/>
          <w:highlight w:val="none"/>
        </w:rPr>
        <w:t>名</w:t>
      </w:r>
      <w:r>
        <w:rPr>
          <w:rFonts w:hint="eastAsia" w:ascii="宋体" w:hAnsi="宋体" w:cs="MingLiU"/>
          <w:color w:val="auto"/>
          <w:kern w:val="0"/>
          <w:szCs w:val="21"/>
          <w:highlight w:val="none"/>
        </w:rPr>
        <w:t>）</w:t>
      </w:r>
    </w:p>
    <w:p w14:paraId="03660521">
      <w:pPr>
        <w:tabs>
          <w:tab w:val="left" w:pos="6825"/>
        </w:tabs>
        <w:autoSpaceDE w:val="0"/>
        <w:autoSpaceDN w:val="0"/>
        <w:adjustRightInd w:val="0"/>
        <w:snapToGrid w:val="0"/>
        <w:spacing w:line="360" w:lineRule="auto"/>
        <w:ind w:firstLine="1680"/>
        <w:jc w:val="left"/>
        <w:rPr>
          <w:rFonts w:ascii="宋体" w:hAnsi="宋体" w:cs="MingLiU"/>
          <w:color w:val="auto"/>
          <w:kern w:val="0"/>
          <w:sz w:val="20"/>
          <w:szCs w:val="20"/>
          <w:highlight w:val="none"/>
        </w:rPr>
      </w:pPr>
      <w:r>
        <w:rPr>
          <w:rFonts w:hint="eastAsia" w:ascii="宋体" w:hAnsi="宋体" w:cs="MingLiU"/>
          <w:color w:val="auto"/>
          <w:kern w:val="0"/>
          <w:szCs w:val="21"/>
          <w:highlight w:val="none"/>
        </w:rPr>
        <w:t>身份证号码：</w:t>
      </w:r>
      <w:r>
        <w:rPr>
          <w:rFonts w:hint="eastAsia" w:ascii="宋体" w:hAnsi="宋体"/>
          <w:color w:val="auto"/>
          <w:kern w:val="0"/>
          <w:szCs w:val="21"/>
          <w:highlight w:val="none"/>
          <w:u w:val="single"/>
        </w:rPr>
        <w:tab/>
      </w:r>
    </w:p>
    <w:tbl>
      <w:tblPr>
        <w:tblStyle w:val="46"/>
        <w:tblpPr w:leftFromText="180" w:rightFromText="180" w:vertAnchor="text" w:horzAnchor="page" w:tblpX="6475" w:tblpY="77"/>
        <w:tblW w:w="445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55"/>
      </w:tblGrid>
      <w:tr w14:paraId="74B4511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773" w:hRule="atLeast"/>
        </w:trPr>
        <w:tc>
          <w:tcPr>
            <w:tcW w:w="4455" w:type="dxa"/>
          </w:tcPr>
          <w:p w14:paraId="4BCE1447">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委托代理人身份证复印件</w:t>
            </w:r>
          </w:p>
          <w:p w14:paraId="0C961BFA">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（正、反面）</w:t>
            </w:r>
          </w:p>
          <w:p w14:paraId="16D496C2">
            <w:pPr>
              <w:spacing w:line="360" w:lineRule="auto"/>
              <w:rPr>
                <w:rFonts w:ascii="宋体" w:hAnsi="宋体"/>
                <w:b/>
                <w:color w:val="auto"/>
                <w:sz w:val="28"/>
                <w:highlight w:val="none"/>
              </w:rPr>
            </w:pPr>
          </w:p>
        </w:tc>
      </w:tr>
    </w:tbl>
    <w:p w14:paraId="1FF9B3EC">
      <w:pPr>
        <w:rPr>
          <w:vanish/>
          <w:color w:val="auto"/>
          <w:highlight w:val="none"/>
        </w:rPr>
      </w:pPr>
    </w:p>
    <w:tbl>
      <w:tblPr>
        <w:tblStyle w:val="46"/>
        <w:tblpPr w:leftFromText="180" w:rightFromText="180" w:vertAnchor="text" w:horzAnchor="page" w:tblpX="1315" w:tblpY="82"/>
        <w:tblW w:w="442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25"/>
      </w:tblGrid>
      <w:tr w14:paraId="1822ACE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813" w:hRule="atLeast"/>
        </w:trPr>
        <w:tc>
          <w:tcPr>
            <w:tcW w:w="4425" w:type="dxa"/>
          </w:tcPr>
          <w:p w14:paraId="7B001BC0">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法定代表人身份证复印件</w:t>
            </w:r>
          </w:p>
          <w:p w14:paraId="6925154A">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（正、反面）</w:t>
            </w:r>
          </w:p>
          <w:p w14:paraId="14C7398F">
            <w:pPr>
              <w:spacing w:line="360" w:lineRule="auto"/>
              <w:rPr>
                <w:rFonts w:ascii="宋体" w:hAnsi="宋体"/>
                <w:b/>
                <w:color w:val="auto"/>
                <w:sz w:val="28"/>
                <w:highlight w:val="none"/>
              </w:rPr>
            </w:pPr>
          </w:p>
        </w:tc>
      </w:tr>
    </w:tbl>
    <w:p w14:paraId="105A6F29">
      <w:pPr>
        <w:tabs>
          <w:tab w:val="left" w:pos="4005"/>
          <w:tab w:val="left" w:pos="4100"/>
          <w:tab w:val="left" w:pos="5040"/>
        </w:tabs>
        <w:wordWrap w:val="0"/>
        <w:autoSpaceDE w:val="0"/>
        <w:autoSpaceDN w:val="0"/>
        <w:adjustRightInd w:val="0"/>
        <w:snapToGrid w:val="0"/>
        <w:spacing w:line="360" w:lineRule="auto"/>
        <w:ind w:firstLine="6930" w:firstLineChars="3300"/>
        <w:rPr>
          <w:rFonts w:ascii="宋体"/>
          <w:color w:val="auto"/>
          <w:kern w:val="0"/>
          <w:szCs w:val="21"/>
          <w:highlight w:val="none"/>
        </w:rPr>
      </w:pPr>
    </w:p>
    <w:p w14:paraId="25C251A7">
      <w:pPr>
        <w:tabs>
          <w:tab w:val="left" w:pos="4005"/>
          <w:tab w:val="left" w:pos="4100"/>
          <w:tab w:val="left" w:pos="5040"/>
        </w:tabs>
        <w:wordWrap w:val="0"/>
        <w:autoSpaceDE w:val="0"/>
        <w:autoSpaceDN w:val="0"/>
        <w:adjustRightInd w:val="0"/>
        <w:snapToGrid w:val="0"/>
        <w:spacing w:line="360" w:lineRule="auto"/>
        <w:ind w:firstLine="6930" w:firstLineChars="3300"/>
        <w:rPr>
          <w:rFonts w:ascii="宋体"/>
          <w:color w:val="auto"/>
          <w:kern w:val="0"/>
          <w:szCs w:val="21"/>
          <w:highlight w:val="none"/>
        </w:rPr>
      </w:pPr>
    </w:p>
    <w:p w14:paraId="2B80DDC7">
      <w:pPr>
        <w:tabs>
          <w:tab w:val="left" w:pos="4005"/>
          <w:tab w:val="left" w:pos="4100"/>
          <w:tab w:val="left" w:pos="5040"/>
        </w:tabs>
        <w:wordWrap w:val="0"/>
        <w:autoSpaceDE w:val="0"/>
        <w:autoSpaceDN w:val="0"/>
        <w:adjustRightInd w:val="0"/>
        <w:snapToGrid w:val="0"/>
        <w:spacing w:line="360" w:lineRule="auto"/>
        <w:ind w:firstLine="6930" w:firstLineChars="3300"/>
        <w:rPr>
          <w:rFonts w:ascii="宋体"/>
          <w:color w:val="auto"/>
          <w:kern w:val="0"/>
          <w:szCs w:val="21"/>
          <w:highlight w:val="none"/>
        </w:rPr>
      </w:pPr>
    </w:p>
    <w:p w14:paraId="6A87D1CF">
      <w:pPr>
        <w:tabs>
          <w:tab w:val="left" w:pos="4005"/>
          <w:tab w:val="left" w:pos="4100"/>
          <w:tab w:val="left" w:pos="5040"/>
        </w:tabs>
        <w:wordWrap w:val="0"/>
        <w:autoSpaceDE w:val="0"/>
        <w:autoSpaceDN w:val="0"/>
        <w:adjustRightInd w:val="0"/>
        <w:snapToGrid w:val="0"/>
        <w:spacing w:line="360" w:lineRule="auto"/>
        <w:ind w:firstLine="6930" w:firstLineChars="3300"/>
        <w:jc w:val="right"/>
        <w:rPr>
          <w:rFonts w:hint="eastAsia" w:ascii="宋体"/>
          <w:color w:val="auto"/>
          <w:kern w:val="0"/>
          <w:szCs w:val="21"/>
          <w:highlight w:val="none"/>
        </w:rPr>
      </w:pPr>
      <w:r>
        <w:rPr>
          <w:rFonts w:hint="eastAsia" w:ascii="宋体"/>
          <w:color w:val="auto"/>
          <w:kern w:val="0"/>
          <w:szCs w:val="21"/>
          <w:highlight w:val="none"/>
        </w:rPr>
        <w:t xml:space="preserve">          </w:t>
      </w:r>
    </w:p>
    <w:p w14:paraId="60B67281">
      <w:pPr>
        <w:tabs>
          <w:tab w:val="left" w:pos="4005"/>
          <w:tab w:val="left" w:pos="4100"/>
          <w:tab w:val="left" w:pos="5040"/>
        </w:tabs>
        <w:autoSpaceDE w:val="0"/>
        <w:autoSpaceDN w:val="0"/>
        <w:adjustRightInd w:val="0"/>
        <w:snapToGrid w:val="0"/>
        <w:spacing w:line="360" w:lineRule="auto"/>
        <w:ind w:firstLine="6930" w:firstLineChars="3300"/>
        <w:jc w:val="right"/>
        <w:rPr>
          <w:rFonts w:hint="eastAsia" w:ascii="宋体"/>
          <w:color w:val="auto"/>
          <w:kern w:val="0"/>
          <w:szCs w:val="21"/>
          <w:highlight w:val="none"/>
        </w:rPr>
      </w:pPr>
    </w:p>
    <w:p w14:paraId="2BFDD1E1">
      <w:pPr>
        <w:tabs>
          <w:tab w:val="left" w:pos="4005"/>
          <w:tab w:val="left" w:pos="4100"/>
          <w:tab w:val="left" w:pos="5040"/>
        </w:tabs>
        <w:autoSpaceDE w:val="0"/>
        <w:autoSpaceDN w:val="0"/>
        <w:adjustRightInd w:val="0"/>
        <w:snapToGrid w:val="0"/>
        <w:spacing w:line="360" w:lineRule="auto"/>
        <w:ind w:firstLine="6930" w:firstLineChars="3300"/>
        <w:jc w:val="right"/>
        <w:rPr>
          <w:rFonts w:ascii="宋体" w:hAnsi="宋体" w:cs="MingLiU"/>
          <w:color w:val="auto"/>
          <w:kern w:val="0"/>
          <w:szCs w:val="21"/>
          <w:highlight w:val="none"/>
        </w:rPr>
      </w:pPr>
      <w:r>
        <w:rPr>
          <w:rFonts w:hint="eastAsia" w:ascii="宋体"/>
          <w:color w:val="auto"/>
          <w:kern w:val="0"/>
          <w:szCs w:val="21"/>
          <w:highlight w:val="none"/>
        </w:rPr>
        <w:t xml:space="preserve">年   </w:t>
      </w:r>
      <w:r>
        <w:rPr>
          <w:rFonts w:hint="eastAsia" w:ascii="宋体" w:cs="MingLiU"/>
          <w:color w:val="auto"/>
          <w:kern w:val="0"/>
          <w:szCs w:val="21"/>
          <w:highlight w:val="none"/>
        </w:rPr>
        <w:t xml:space="preserve">月   </w:t>
      </w:r>
      <w:r>
        <w:rPr>
          <w:rFonts w:hint="eastAsia" w:ascii="宋体" w:hAnsi="宋体" w:cs="MingLiU"/>
          <w:color w:val="auto"/>
          <w:kern w:val="0"/>
          <w:szCs w:val="21"/>
          <w:highlight w:val="none"/>
        </w:rPr>
        <w:t>日</w:t>
      </w:r>
    </w:p>
    <w:p w14:paraId="72BA7E39">
      <w:pPr>
        <w:autoSpaceDE w:val="0"/>
        <w:autoSpaceDN w:val="0"/>
        <w:adjustRightInd w:val="0"/>
        <w:snapToGrid w:val="0"/>
        <w:spacing w:line="360" w:lineRule="auto"/>
        <w:jc w:val="left"/>
        <w:rPr>
          <w:rFonts w:ascii="宋体" w:hAnsi="宋体" w:cs="MingLiU"/>
          <w:color w:val="auto"/>
          <w:kern w:val="0"/>
          <w:szCs w:val="21"/>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235585</wp:posOffset>
                </wp:positionV>
                <wp:extent cx="286702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55pt;height:0pt;width:225.75pt;z-index:251663360;mso-width-relative:page;mso-height-relative:page;" filled="f" stroked="t" coordsize="21600,21600" o:gfxdata="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resxtgAAAAJAQAADwAAAAAAAAABACAAAAAiAAAAZHJzL2Rvd25yZXYueG1sUEsBAhQA&#10;FAAAAAgAh07iQDeujDPyAQAA6AMAAA4AAAAAAAAAAQAgAAAAJwEAAGRycy9lMm9Eb2MueG1sUEsF&#10;BgAAAAAGAAYAWQEAAIsFAAAAAA==&#10;">
                <v:fill on="f" focussize="0,0"/>
                <v:stroke weight="0.25pt" color="#000000" joinstyle="round"/>
                <v:imagedata o:title=""/>
                <o:lock v:ext="edit" aspectratio="f"/>
              </v:line>
            </w:pict>
          </mc:Fallback>
        </mc:AlternateContent>
      </w:r>
      <w:r>
        <w:rPr>
          <w:rFonts w:hint="eastAsia" w:ascii="宋体" w:hAnsi="宋体" w:cs="MingLiU"/>
          <w:color w:val="auto"/>
          <w:kern w:val="0"/>
          <w:szCs w:val="21"/>
          <w:highlight w:val="none"/>
        </w:rPr>
        <w:t>注：</w:t>
      </w:r>
    </w:p>
    <w:p w14:paraId="69AEFDB1">
      <w:pPr>
        <w:autoSpaceDE w:val="0"/>
        <w:autoSpaceDN w:val="0"/>
        <w:adjustRightInd w:val="0"/>
        <w:snapToGrid w:val="0"/>
        <w:spacing w:line="360" w:lineRule="auto"/>
        <w:jc w:val="left"/>
        <w:rPr>
          <w:rFonts w:hint="eastAsia" w:ascii="宋体" w:hAnsi="宋体" w:eastAsia="宋体" w:cs="MingLiU"/>
          <w:color w:val="auto"/>
          <w:kern w:val="0"/>
          <w:szCs w:val="21"/>
          <w:highlight w:val="none"/>
          <w:lang w:eastAsia="zh-CN"/>
        </w:rPr>
      </w:pPr>
      <w:r>
        <w:rPr>
          <w:rFonts w:hint="eastAsia" w:ascii="宋体" w:hAnsi="宋体" w:cs="MingLiU"/>
          <w:color w:val="auto"/>
          <w:kern w:val="0"/>
          <w:szCs w:val="21"/>
          <w:highlight w:val="none"/>
        </w:rPr>
        <w:t xml:space="preserve">    1、法定代表人参加投标活动并签署文件的不需要授权委托书，只需提供法定代表人身份证明；非法定代表人参加投标活动及签署文件的除提供法定代表人身份证明外还须提供授权委托书。法定代表人的签</w:t>
      </w:r>
      <w:r>
        <w:rPr>
          <w:rFonts w:hint="eastAsia" w:ascii="宋体" w:hAnsi="宋体" w:cs="MingLiU"/>
          <w:color w:val="auto"/>
          <w:kern w:val="0"/>
          <w:szCs w:val="21"/>
          <w:highlight w:val="none"/>
          <w:lang w:eastAsia="zh-CN"/>
        </w:rPr>
        <w:t>名</w:t>
      </w:r>
      <w:r>
        <w:rPr>
          <w:rFonts w:hint="eastAsia" w:ascii="宋体" w:hAnsi="宋体" w:cs="MingLiU"/>
          <w:color w:val="auto"/>
          <w:kern w:val="0"/>
          <w:szCs w:val="21"/>
          <w:highlight w:val="none"/>
        </w:rPr>
        <w:t>必须是亲笔签名，不得使用印章、签名章或其他电子制版签名</w:t>
      </w:r>
      <w:r>
        <w:rPr>
          <w:rFonts w:hint="eastAsia" w:ascii="宋体" w:hAnsi="宋体" w:cs="MingLiU"/>
          <w:color w:val="auto"/>
          <w:kern w:val="0"/>
          <w:szCs w:val="21"/>
          <w:highlight w:val="none"/>
          <w:lang w:eastAsia="zh-CN"/>
        </w:rPr>
        <w:t>，否则</w:t>
      </w:r>
      <w:r>
        <w:rPr>
          <w:rFonts w:hint="eastAsia" w:hAnsi="宋体" w:eastAsia="宋体"/>
          <w:color w:val="auto"/>
          <w:sz w:val="21"/>
          <w:szCs w:val="21"/>
          <w:highlight w:val="none"/>
        </w:rPr>
        <w:t>由评标委员会作否决投标处理</w:t>
      </w:r>
      <w:r>
        <w:rPr>
          <w:rFonts w:hint="eastAsia"/>
          <w:color w:val="auto"/>
          <w:highlight w:val="none"/>
          <w:lang w:eastAsia="zh-CN"/>
        </w:rPr>
        <w:t>。</w:t>
      </w:r>
    </w:p>
    <w:p w14:paraId="01E44761">
      <w:pPr>
        <w:autoSpaceDE w:val="0"/>
        <w:autoSpaceDN w:val="0"/>
        <w:adjustRightInd w:val="0"/>
        <w:snapToGrid w:val="0"/>
        <w:spacing w:line="360" w:lineRule="auto"/>
        <w:jc w:val="left"/>
        <w:rPr>
          <w:rFonts w:ascii="宋体" w:hAnsi="宋体" w:cs="MingLiU"/>
          <w:color w:val="auto"/>
          <w:kern w:val="0"/>
          <w:szCs w:val="21"/>
          <w:highlight w:val="none"/>
        </w:rPr>
      </w:pPr>
      <w:r>
        <w:rPr>
          <w:rFonts w:hint="eastAsia" w:ascii="宋体" w:hAnsi="宋体" w:cs="MingLiU"/>
          <w:color w:val="auto"/>
          <w:kern w:val="0"/>
          <w:szCs w:val="21"/>
          <w:highlight w:val="none"/>
        </w:rPr>
        <w:t xml:space="preserve">    2、法定代表人身份证明及授权委托书原件装入比选申请文件一并递交。另外须准备一份在开标现场出具，否则当初退还其比选申请文件。</w:t>
      </w:r>
    </w:p>
    <w:p w14:paraId="122CC783">
      <w:pPr>
        <w:tabs>
          <w:tab w:val="left" w:pos="5760"/>
        </w:tabs>
        <w:autoSpaceDE w:val="0"/>
        <w:autoSpaceDN w:val="0"/>
        <w:adjustRightInd w:val="0"/>
        <w:spacing w:line="300" w:lineRule="exact"/>
        <w:ind w:left="820" w:leftChars="253" w:right="11" w:hanging="289" w:hangingChars="138"/>
        <w:rPr>
          <w:rFonts w:ascii="宋体" w:hAnsi="宋体" w:cs="MingLiU"/>
          <w:color w:val="auto"/>
          <w:kern w:val="0"/>
          <w:szCs w:val="21"/>
          <w:highlight w:val="none"/>
        </w:rPr>
      </w:pPr>
    </w:p>
    <w:p w14:paraId="09391492">
      <w:pPr>
        <w:rPr>
          <w:color w:val="auto"/>
          <w:highlight w:val="none"/>
        </w:rPr>
      </w:pPr>
      <w:bookmarkStart w:id="2953" w:name="_Toc26813"/>
      <w:bookmarkStart w:id="2954" w:name="_Toc3705"/>
      <w:bookmarkStart w:id="2955" w:name="_Toc2984"/>
      <w:r>
        <w:rPr>
          <w:rFonts w:hint="eastAsia"/>
          <w:color w:val="auto"/>
          <w:highlight w:val="none"/>
        </w:rPr>
        <w:br w:type="page"/>
      </w:r>
    </w:p>
    <w:p w14:paraId="544B4053">
      <w:pPr>
        <w:pStyle w:val="4"/>
        <w:jc w:val="center"/>
        <w:rPr>
          <w:color w:val="auto"/>
          <w:highlight w:val="none"/>
        </w:rPr>
      </w:pPr>
      <w:r>
        <w:rPr>
          <w:rFonts w:hint="eastAsia"/>
          <w:color w:val="auto"/>
          <w:highlight w:val="none"/>
        </w:rPr>
        <w:t>二、</w:t>
      </w:r>
      <w:bookmarkEnd w:id="2953"/>
      <w:bookmarkEnd w:id="2954"/>
      <w:bookmarkStart w:id="2956" w:name="_Toc16000473"/>
      <w:bookmarkStart w:id="2957" w:name="_Toc30509"/>
      <w:bookmarkStart w:id="2958" w:name="_Toc23058"/>
      <w:bookmarkStart w:id="2959" w:name="_Toc28427"/>
      <w:bookmarkStart w:id="2960" w:name="_Toc287620821"/>
      <w:bookmarkStart w:id="2961" w:name="_Toc287607874"/>
      <w:bookmarkStart w:id="2962" w:name="_Toc224103502"/>
      <w:bookmarkStart w:id="2963" w:name="_Toc505783803"/>
      <w:bookmarkStart w:id="2964" w:name="_Toc505076009"/>
      <w:bookmarkStart w:id="2965" w:name="_Toc20116"/>
      <w:bookmarkStart w:id="2966" w:name="_Toc493602580"/>
      <w:r>
        <w:rPr>
          <w:rFonts w:hint="eastAsia"/>
          <w:color w:val="auto"/>
          <w:highlight w:val="none"/>
        </w:rPr>
        <w:t>技术部分</w:t>
      </w:r>
      <w:bookmarkEnd w:id="2955"/>
      <w:bookmarkEnd w:id="2956"/>
      <w:bookmarkEnd w:id="2957"/>
      <w:bookmarkEnd w:id="2958"/>
      <w:bookmarkEnd w:id="2959"/>
    </w:p>
    <w:bookmarkEnd w:id="2960"/>
    <w:p w14:paraId="64A6DAC6">
      <w:pPr>
        <w:autoSpaceDE w:val="0"/>
        <w:autoSpaceDN w:val="0"/>
        <w:adjustRightInd w:val="0"/>
        <w:snapToGrid w:val="0"/>
        <w:spacing w:line="360" w:lineRule="auto"/>
        <w:ind w:firstLine="472" w:firstLineChars="196"/>
        <w:rPr>
          <w:rFonts w:ascii="宋体" w:hAnsi="宋体" w:cs="MingLiU"/>
          <w:b/>
          <w:snapToGrid w:val="0"/>
          <w:color w:val="auto"/>
          <w:kern w:val="0"/>
          <w:sz w:val="24"/>
          <w:highlight w:val="none"/>
        </w:rPr>
      </w:pPr>
      <w:r>
        <w:rPr>
          <w:rFonts w:ascii="宋体" w:hAnsi="宋体" w:cs="MingLiU"/>
          <w:b/>
          <w:snapToGrid w:val="0"/>
          <w:color w:val="auto"/>
          <w:kern w:val="0"/>
          <w:sz w:val="24"/>
          <w:highlight w:val="none"/>
        </w:rPr>
        <w:br w:type="page"/>
      </w:r>
    </w:p>
    <w:p w14:paraId="672632EC">
      <w:pPr>
        <w:autoSpaceDE w:val="0"/>
        <w:autoSpaceDN w:val="0"/>
        <w:adjustRightInd w:val="0"/>
        <w:snapToGrid w:val="0"/>
        <w:spacing w:line="360" w:lineRule="auto"/>
        <w:jc w:val="center"/>
        <w:rPr>
          <w:rFonts w:ascii="宋体" w:hAnsi="宋体" w:cs="MingLiU"/>
          <w:b/>
          <w:color w:val="auto"/>
          <w:kern w:val="0"/>
          <w:sz w:val="32"/>
          <w:szCs w:val="32"/>
          <w:highlight w:val="none"/>
        </w:rPr>
      </w:pPr>
      <w:r>
        <w:rPr>
          <w:rFonts w:hint="eastAsia" w:ascii="宋体" w:hAnsi="宋体" w:cs="MingLiU"/>
          <w:b/>
          <w:color w:val="auto"/>
          <w:kern w:val="0"/>
          <w:sz w:val="32"/>
          <w:szCs w:val="32"/>
          <w:highlight w:val="none"/>
        </w:rPr>
        <w:t>目     录</w:t>
      </w:r>
    </w:p>
    <w:p w14:paraId="03C5DF5F">
      <w:pPr>
        <w:autoSpaceDE w:val="0"/>
        <w:autoSpaceDN w:val="0"/>
        <w:adjustRightInd w:val="0"/>
        <w:snapToGrid w:val="0"/>
        <w:spacing w:line="360" w:lineRule="auto"/>
        <w:jc w:val="left"/>
        <w:rPr>
          <w:rFonts w:ascii="宋体" w:hAnsi="宋体" w:cs="MingLiU"/>
          <w:color w:val="auto"/>
          <w:kern w:val="0"/>
          <w:sz w:val="32"/>
          <w:szCs w:val="32"/>
          <w:highlight w:val="none"/>
        </w:rPr>
      </w:pPr>
    </w:p>
    <w:p w14:paraId="692324EC">
      <w:pPr>
        <w:autoSpaceDE w:val="0"/>
        <w:autoSpaceDN w:val="0"/>
        <w:adjustRightInd w:val="0"/>
        <w:snapToGrid w:val="0"/>
        <w:spacing w:line="360" w:lineRule="auto"/>
        <w:jc w:val="left"/>
        <w:rPr>
          <w:rFonts w:ascii="宋体" w:hAnsi="宋体" w:cs="MingLiU"/>
          <w:color w:val="auto"/>
          <w:kern w:val="0"/>
          <w:sz w:val="32"/>
          <w:szCs w:val="32"/>
          <w:highlight w:val="none"/>
        </w:rPr>
      </w:pPr>
    </w:p>
    <w:p w14:paraId="43E59EC2">
      <w:pPr>
        <w:autoSpaceDE w:val="0"/>
        <w:autoSpaceDN w:val="0"/>
        <w:adjustRightInd w:val="0"/>
        <w:snapToGrid w:val="0"/>
        <w:spacing w:line="360" w:lineRule="auto"/>
        <w:ind w:firstLine="480" w:firstLineChars="200"/>
        <w:jc w:val="left"/>
        <w:rPr>
          <w:rFonts w:ascii="楷体_GB2312" w:hAnsi="宋体" w:eastAsia="楷体_GB2312"/>
          <w:color w:val="auto"/>
          <w:kern w:val="0"/>
          <w:sz w:val="24"/>
          <w:highlight w:val="none"/>
        </w:rPr>
      </w:pPr>
      <w:r>
        <w:rPr>
          <w:rFonts w:hint="eastAsia" w:ascii="楷体_GB2312" w:hAnsi="宋体" w:eastAsia="楷体_GB2312"/>
          <w:color w:val="auto"/>
          <w:kern w:val="0"/>
          <w:sz w:val="24"/>
          <w:highlight w:val="none"/>
        </w:rPr>
        <w:t>[目录由比选申请人自行编制]</w:t>
      </w:r>
    </w:p>
    <w:p w14:paraId="1174170F">
      <w:pPr>
        <w:autoSpaceDE w:val="0"/>
        <w:autoSpaceDN w:val="0"/>
        <w:adjustRightInd w:val="0"/>
        <w:snapToGrid w:val="0"/>
        <w:spacing w:line="360" w:lineRule="auto"/>
        <w:jc w:val="left"/>
        <w:rPr>
          <w:rFonts w:ascii="宋体" w:hAnsi="宋体" w:cs="MingLiU"/>
          <w:color w:val="auto"/>
          <w:kern w:val="0"/>
          <w:szCs w:val="21"/>
          <w:highlight w:val="none"/>
        </w:rPr>
      </w:pPr>
    </w:p>
    <w:p w14:paraId="77A2BB13">
      <w:pPr>
        <w:autoSpaceDE w:val="0"/>
        <w:autoSpaceDN w:val="0"/>
        <w:adjustRightInd w:val="0"/>
        <w:snapToGrid w:val="0"/>
        <w:spacing w:line="360" w:lineRule="auto"/>
        <w:jc w:val="left"/>
        <w:rPr>
          <w:rFonts w:ascii="宋体" w:hAnsi="宋体"/>
          <w:color w:val="auto"/>
          <w:kern w:val="0"/>
          <w:highlight w:val="none"/>
        </w:rPr>
      </w:pPr>
    </w:p>
    <w:p w14:paraId="7445D9FE">
      <w:pPr>
        <w:autoSpaceDE w:val="0"/>
        <w:autoSpaceDN w:val="0"/>
        <w:adjustRightInd w:val="0"/>
        <w:snapToGrid w:val="0"/>
        <w:spacing w:line="360" w:lineRule="auto"/>
        <w:jc w:val="left"/>
        <w:rPr>
          <w:rFonts w:ascii="宋体" w:hAnsi="宋体"/>
          <w:color w:val="auto"/>
          <w:kern w:val="0"/>
          <w:highlight w:val="none"/>
        </w:rPr>
      </w:pPr>
    </w:p>
    <w:p w14:paraId="6593D9DB">
      <w:pPr>
        <w:autoSpaceDE w:val="0"/>
        <w:autoSpaceDN w:val="0"/>
        <w:adjustRightInd w:val="0"/>
        <w:snapToGrid w:val="0"/>
        <w:spacing w:line="360" w:lineRule="auto"/>
        <w:jc w:val="left"/>
        <w:rPr>
          <w:rFonts w:ascii="宋体" w:hAnsi="宋体"/>
          <w:color w:val="auto"/>
          <w:kern w:val="0"/>
          <w:highlight w:val="none"/>
        </w:rPr>
      </w:pPr>
    </w:p>
    <w:p w14:paraId="59EBD1A2">
      <w:pPr>
        <w:autoSpaceDE w:val="0"/>
        <w:autoSpaceDN w:val="0"/>
        <w:adjustRightInd w:val="0"/>
        <w:snapToGrid w:val="0"/>
        <w:spacing w:line="360" w:lineRule="auto"/>
        <w:jc w:val="left"/>
        <w:rPr>
          <w:rFonts w:ascii="宋体" w:hAnsi="宋体"/>
          <w:color w:val="auto"/>
          <w:kern w:val="0"/>
          <w:highlight w:val="none"/>
        </w:rPr>
      </w:pPr>
    </w:p>
    <w:p w14:paraId="2AD12EA6">
      <w:pPr>
        <w:autoSpaceDE w:val="0"/>
        <w:autoSpaceDN w:val="0"/>
        <w:adjustRightInd w:val="0"/>
        <w:snapToGrid w:val="0"/>
        <w:spacing w:line="360" w:lineRule="auto"/>
        <w:jc w:val="left"/>
        <w:rPr>
          <w:rFonts w:ascii="宋体" w:hAnsi="宋体"/>
          <w:color w:val="auto"/>
          <w:kern w:val="0"/>
          <w:highlight w:val="none"/>
        </w:rPr>
      </w:pPr>
    </w:p>
    <w:p w14:paraId="5E27B1AB">
      <w:pPr>
        <w:autoSpaceDE w:val="0"/>
        <w:autoSpaceDN w:val="0"/>
        <w:adjustRightInd w:val="0"/>
        <w:snapToGrid w:val="0"/>
        <w:spacing w:line="360" w:lineRule="auto"/>
        <w:jc w:val="left"/>
        <w:rPr>
          <w:rFonts w:ascii="宋体" w:hAnsi="宋体"/>
          <w:color w:val="auto"/>
          <w:kern w:val="0"/>
          <w:highlight w:val="none"/>
        </w:rPr>
      </w:pPr>
    </w:p>
    <w:p w14:paraId="4BA33C5F">
      <w:pPr>
        <w:autoSpaceDE w:val="0"/>
        <w:autoSpaceDN w:val="0"/>
        <w:adjustRightInd w:val="0"/>
        <w:snapToGrid w:val="0"/>
        <w:spacing w:line="360" w:lineRule="auto"/>
        <w:jc w:val="left"/>
        <w:rPr>
          <w:rFonts w:ascii="宋体" w:hAnsi="宋体"/>
          <w:color w:val="auto"/>
          <w:kern w:val="0"/>
          <w:highlight w:val="none"/>
        </w:rPr>
      </w:pPr>
    </w:p>
    <w:p w14:paraId="1A4E9CAC">
      <w:pPr>
        <w:autoSpaceDE w:val="0"/>
        <w:autoSpaceDN w:val="0"/>
        <w:adjustRightInd w:val="0"/>
        <w:snapToGrid w:val="0"/>
        <w:spacing w:line="360" w:lineRule="auto"/>
        <w:jc w:val="left"/>
        <w:rPr>
          <w:rFonts w:ascii="宋体" w:hAnsi="宋体"/>
          <w:color w:val="auto"/>
          <w:kern w:val="0"/>
          <w:highlight w:val="none"/>
        </w:rPr>
      </w:pPr>
    </w:p>
    <w:p w14:paraId="6A31BE36">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45E6F12B">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37E7E82B">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731158E8">
      <w:pPr>
        <w:autoSpaceDE w:val="0"/>
        <w:autoSpaceDN w:val="0"/>
        <w:adjustRightInd w:val="0"/>
        <w:snapToGrid w:val="0"/>
        <w:spacing w:line="360" w:lineRule="auto"/>
        <w:jc w:val="left"/>
        <w:rPr>
          <w:rFonts w:ascii="宋体" w:hAnsi="宋体" w:cs="MingLiU"/>
          <w:color w:val="auto"/>
          <w:w w:val="99"/>
          <w:kern w:val="0"/>
          <w:sz w:val="28"/>
          <w:szCs w:val="28"/>
          <w:highlight w:val="none"/>
        </w:rPr>
      </w:pPr>
    </w:p>
    <w:p w14:paraId="5685E540">
      <w:pPr>
        <w:rPr>
          <w:color w:val="auto"/>
          <w:highlight w:val="none"/>
        </w:rPr>
      </w:pPr>
      <w:r>
        <w:rPr>
          <w:color w:val="auto"/>
          <w:highlight w:val="none"/>
        </w:rPr>
        <w:br w:type="page"/>
      </w:r>
    </w:p>
    <w:p w14:paraId="2C4B4D17">
      <w:pPr>
        <w:pStyle w:val="5"/>
        <w:jc w:val="center"/>
        <w:rPr>
          <w:rFonts w:ascii="宋体" w:hAnsi="宋体"/>
          <w:color w:val="auto"/>
          <w:sz w:val="28"/>
          <w:highlight w:val="none"/>
        </w:rPr>
      </w:pPr>
      <w:r>
        <w:rPr>
          <w:rFonts w:hint="eastAsia" w:ascii="宋体" w:hAnsi="宋体"/>
          <w:color w:val="auto"/>
          <w:sz w:val="28"/>
          <w:highlight w:val="none"/>
          <w:lang w:eastAsia="zh-CN"/>
        </w:rPr>
        <w:t>技术方案</w:t>
      </w:r>
    </w:p>
    <w:p w14:paraId="5EAB918F">
      <w:pPr>
        <w:autoSpaceDE w:val="0"/>
        <w:autoSpaceDN w:val="0"/>
        <w:adjustRightInd w:val="0"/>
        <w:snapToGrid w:val="0"/>
        <w:spacing w:line="360" w:lineRule="auto"/>
        <w:jc w:val="left"/>
        <w:rPr>
          <w:rFonts w:ascii="宋体" w:hAnsi="宋体" w:cs="MingLiU"/>
          <w:color w:val="auto"/>
          <w:kern w:val="0"/>
          <w:sz w:val="12"/>
          <w:szCs w:val="12"/>
          <w:highlight w:val="none"/>
        </w:rPr>
      </w:pPr>
    </w:p>
    <w:p w14:paraId="03EFA833">
      <w:pPr>
        <w:autoSpaceDE w:val="0"/>
        <w:autoSpaceDN w:val="0"/>
        <w:adjustRightInd w:val="0"/>
        <w:snapToGrid w:val="0"/>
        <w:spacing w:line="360" w:lineRule="auto"/>
        <w:jc w:val="left"/>
        <w:rPr>
          <w:rFonts w:ascii="宋体" w:hAnsi="宋体" w:cs="MingLiU"/>
          <w:color w:val="auto"/>
          <w:kern w:val="0"/>
          <w:sz w:val="20"/>
          <w:szCs w:val="20"/>
          <w:highlight w:val="none"/>
        </w:rPr>
      </w:pPr>
    </w:p>
    <w:p w14:paraId="4E2ED53F">
      <w:pPr>
        <w:autoSpaceDE w:val="0"/>
        <w:autoSpaceDN w:val="0"/>
        <w:adjustRightInd w:val="0"/>
        <w:snapToGrid w:val="0"/>
        <w:spacing w:line="360" w:lineRule="auto"/>
        <w:ind w:firstLine="420"/>
        <w:rPr>
          <w:rFonts w:ascii="宋体" w:hAnsi="宋体" w:cs="MingLiU"/>
          <w:color w:val="auto"/>
          <w:kern w:val="0"/>
          <w:szCs w:val="21"/>
          <w:highlight w:val="none"/>
        </w:rPr>
      </w:pPr>
      <w:r>
        <w:rPr>
          <w:rFonts w:ascii="宋体" w:hAnsi="宋体"/>
          <w:color w:val="auto"/>
          <w:kern w:val="0"/>
          <w:szCs w:val="21"/>
          <w:highlight w:val="none"/>
        </w:rPr>
        <w:t>1.</w:t>
      </w:r>
      <w:r>
        <w:rPr>
          <w:rFonts w:hint="eastAsia" w:ascii="宋体" w:hAnsi="宋体" w:cs="MingLiU"/>
          <w:color w:val="auto"/>
          <w:kern w:val="0"/>
          <w:szCs w:val="21"/>
          <w:highlight w:val="none"/>
        </w:rPr>
        <w:t>比选申请人编制</w:t>
      </w:r>
      <w:r>
        <w:rPr>
          <w:rFonts w:hint="eastAsia" w:ascii="宋体" w:hAnsi="宋体" w:cs="MingLiU"/>
          <w:color w:val="auto"/>
          <w:kern w:val="0"/>
          <w:szCs w:val="21"/>
          <w:highlight w:val="none"/>
          <w:lang w:eastAsia="zh-CN"/>
        </w:rPr>
        <w:t>技术方案</w:t>
      </w:r>
      <w:r>
        <w:rPr>
          <w:rFonts w:hint="eastAsia" w:ascii="宋体" w:hAnsi="宋体" w:cs="MingLiU"/>
          <w:color w:val="auto"/>
          <w:kern w:val="0"/>
          <w:szCs w:val="21"/>
          <w:highlight w:val="none"/>
        </w:rPr>
        <w:t>的要求</w:t>
      </w:r>
      <w:r>
        <w:rPr>
          <w:rFonts w:hint="eastAsia" w:ascii="宋体" w:hAnsi="宋体" w:cs="MingLiU"/>
          <w:color w:val="auto"/>
          <w:spacing w:val="-79"/>
          <w:kern w:val="0"/>
          <w:szCs w:val="21"/>
          <w:highlight w:val="none"/>
        </w:rPr>
        <w:t>：</w:t>
      </w:r>
      <w:r>
        <w:rPr>
          <w:rFonts w:hint="eastAsia" w:ascii="宋体" w:hAnsi="宋体" w:cs="MingLiU"/>
          <w:color w:val="auto"/>
          <w:kern w:val="0"/>
          <w:szCs w:val="21"/>
          <w:highlight w:val="none"/>
        </w:rPr>
        <w:t>编制时应采用文字并结合图表形式说明施工方法；拟投入本标段的主要施工设备情况</w:t>
      </w:r>
      <w:r>
        <w:rPr>
          <w:rFonts w:hint="eastAsia" w:ascii="宋体" w:hAnsi="宋体" w:cs="MingLiU"/>
          <w:color w:val="auto"/>
          <w:spacing w:val="-47"/>
          <w:kern w:val="0"/>
          <w:szCs w:val="21"/>
          <w:highlight w:val="none"/>
        </w:rPr>
        <w:t>、</w:t>
      </w:r>
      <w:r>
        <w:rPr>
          <w:rFonts w:hint="eastAsia" w:ascii="宋体" w:hAnsi="宋体" w:cs="MingLiU"/>
          <w:color w:val="auto"/>
          <w:kern w:val="0"/>
          <w:szCs w:val="21"/>
          <w:highlight w:val="none"/>
        </w:rPr>
        <w:t>拟配备本标段的试验和检测仪器设备情况</w:t>
      </w:r>
      <w:r>
        <w:rPr>
          <w:rFonts w:hint="eastAsia" w:ascii="宋体" w:hAnsi="宋体" w:cs="MingLiU"/>
          <w:color w:val="auto"/>
          <w:spacing w:val="-47"/>
          <w:kern w:val="0"/>
          <w:szCs w:val="21"/>
          <w:highlight w:val="none"/>
        </w:rPr>
        <w:t>、</w:t>
      </w:r>
      <w:r>
        <w:rPr>
          <w:rFonts w:hint="eastAsia" w:ascii="宋体" w:hAnsi="宋体" w:cs="MingLiU"/>
          <w:color w:val="auto"/>
          <w:kern w:val="0"/>
          <w:szCs w:val="21"/>
          <w:highlight w:val="none"/>
        </w:rPr>
        <w:t>劳动力计划等</w:t>
      </w:r>
      <w:r>
        <w:rPr>
          <w:rFonts w:hint="eastAsia" w:ascii="宋体" w:hAnsi="宋体" w:cs="MingLiU"/>
          <w:color w:val="auto"/>
          <w:spacing w:val="-19"/>
          <w:kern w:val="0"/>
          <w:szCs w:val="21"/>
          <w:highlight w:val="none"/>
        </w:rPr>
        <w:t>；</w:t>
      </w:r>
      <w:r>
        <w:rPr>
          <w:rFonts w:hint="eastAsia" w:ascii="宋体" w:hAnsi="宋体" w:cs="MingLiU"/>
          <w:color w:val="auto"/>
          <w:kern w:val="0"/>
          <w:szCs w:val="21"/>
          <w:highlight w:val="none"/>
        </w:rPr>
        <w:t>结合工程特点提出切实可行的工程质量</w:t>
      </w:r>
      <w:r>
        <w:rPr>
          <w:rFonts w:hint="eastAsia" w:ascii="宋体" w:hAnsi="宋体" w:cs="MingLiU"/>
          <w:color w:val="auto"/>
          <w:spacing w:val="-19"/>
          <w:kern w:val="0"/>
          <w:szCs w:val="21"/>
          <w:highlight w:val="none"/>
        </w:rPr>
        <w:t>、</w:t>
      </w:r>
      <w:r>
        <w:rPr>
          <w:rFonts w:hint="eastAsia" w:ascii="宋体" w:hAnsi="宋体" w:cs="MingLiU"/>
          <w:color w:val="auto"/>
          <w:kern w:val="0"/>
          <w:szCs w:val="21"/>
          <w:highlight w:val="none"/>
        </w:rPr>
        <w:t>安全生产</w:t>
      </w:r>
      <w:r>
        <w:rPr>
          <w:rFonts w:hint="eastAsia" w:ascii="宋体" w:hAnsi="宋体" w:cs="MingLiU"/>
          <w:color w:val="auto"/>
          <w:spacing w:val="-19"/>
          <w:kern w:val="0"/>
          <w:szCs w:val="21"/>
          <w:highlight w:val="none"/>
        </w:rPr>
        <w:t>、</w:t>
      </w:r>
      <w:r>
        <w:rPr>
          <w:rFonts w:hint="eastAsia" w:ascii="宋体" w:hAnsi="宋体" w:cs="MingLiU"/>
          <w:color w:val="auto"/>
          <w:kern w:val="0"/>
          <w:szCs w:val="21"/>
          <w:highlight w:val="none"/>
        </w:rPr>
        <w:t>文明施工</w:t>
      </w:r>
      <w:r>
        <w:rPr>
          <w:rFonts w:hint="eastAsia" w:ascii="宋体" w:hAnsi="宋体" w:cs="MingLiU"/>
          <w:color w:val="auto"/>
          <w:spacing w:val="-19"/>
          <w:kern w:val="0"/>
          <w:szCs w:val="21"/>
          <w:highlight w:val="none"/>
        </w:rPr>
        <w:t>、</w:t>
      </w:r>
      <w:r>
        <w:rPr>
          <w:rFonts w:hint="eastAsia" w:ascii="宋体" w:hAnsi="宋体" w:cs="MingLiU"/>
          <w:color w:val="auto"/>
          <w:kern w:val="0"/>
          <w:szCs w:val="21"/>
          <w:highlight w:val="none"/>
        </w:rPr>
        <w:t>工程进度</w:t>
      </w:r>
      <w:r>
        <w:rPr>
          <w:rFonts w:hint="eastAsia" w:ascii="宋体" w:hAnsi="宋体" w:cs="MingLiU"/>
          <w:color w:val="auto"/>
          <w:spacing w:val="-19"/>
          <w:kern w:val="0"/>
          <w:szCs w:val="21"/>
          <w:highlight w:val="none"/>
        </w:rPr>
        <w:t>、</w:t>
      </w:r>
      <w:r>
        <w:rPr>
          <w:rFonts w:hint="eastAsia" w:ascii="宋体" w:hAnsi="宋体" w:cs="MingLiU"/>
          <w:color w:val="auto"/>
          <w:kern w:val="0"/>
          <w:szCs w:val="21"/>
          <w:highlight w:val="none"/>
        </w:rPr>
        <w:t>技术组</w:t>
      </w:r>
      <w:r>
        <w:rPr>
          <w:rFonts w:hint="eastAsia" w:ascii="宋体" w:hAnsi="宋体" w:cs="MingLiU"/>
          <w:color w:val="auto"/>
          <w:spacing w:val="1"/>
          <w:kern w:val="0"/>
          <w:szCs w:val="21"/>
          <w:highlight w:val="none"/>
        </w:rPr>
        <w:t>织</w:t>
      </w:r>
      <w:r>
        <w:rPr>
          <w:rFonts w:hint="eastAsia" w:ascii="宋体" w:hAnsi="宋体" w:cs="MingLiU"/>
          <w:color w:val="auto"/>
          <w:kern w:val="0"/>
          <w:szCs w:val="21"/>
          <w:highlight w:val="none"/>
        </w:rPr>
        <w:t>措施，同时应对关键工序、复杂环节重点提出相应技术措施，如冬雨季施工技术、减少噪音、降低环境污染、地下管线及其他地上地下设施的保护加固措施等。</w:t>
      </w:r>
    </w:p>
    <w:p w14:paraId="6882187F">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color w:val="auto"/>
          <w:kern w:val="0"/>
          <w:szCs w:val="21"/>
          <w:highlight w:val="none"/>
        </w:rPr>
      </w:pPr>
      <w:r>
        <w:rPr>
          <w:rFonts w:hint="eastAsia" w:ascii="宋体" w:hAnsi="宋体" w:cs="MingLiU"/>
          <w:color w:val="auto"/>
          <w:kern w:val="0"/>
          <w:szCs w:val="21"/>
          <w:highlight w:val="none"/>
        </w:rPr>
        <w:t xml:space="preserve">2. </w:t>
      </w:r>
      <w:r>
        <w:rPr>
          <w:rFonts w:hint="eastAsia" w:ascii="宋体" w:hAnsi="宋体" w:cs="MingLiU"/>
          <w:color w:val="auto"/>
          <w:kern w:val="0"/>
          <w:szCs w:val="21"/>
          <w:highlight w:val="none"/>
          <w:lang w:eastAsia="zh-CN"/>
        </w:rPr>
        <w:t>技术方案</w:t>
      </w:r>
      <w:r>
        <w:rPr>
          <w:rFonts w:hint="eastAsia" w:ascii="宋体" w:hAnsi="宋体" w:cs="MingLiU"/>
          <w:color w:val="auto"/>
          <w:kern w:val="0"/>
          <w:szCs w:val="21"/>
          <w:highlight w:val="none"/>
        </w:rPr>
        <w:t>除采用文字表述外可附下列图表，图表及格式要求附后。</w:t>
      </w:r>
    </w:p>
    <w:p w14:paraId="6F9BB4B6">
      <w:pPr>
        <w:tabs>
          <w:tab w:val="left" w:pos="1700"/>
        </w:tabs>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p>
    <w:p w14:paraId="3FDE4DD5">
      <w:pPr>
        <w:tabs>
          <w:tab w:val="left" w:pos="1700"/>
        </w:tabs>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hint="eastAsia" w:ascii="宋体" w:hAnsi="宋体" w:cs="MingLiU"/>
          <w:color w:val="auto"/>
          <w:kern w:val="0"/>
          <w:szCs w:val="21"/>
          <w:highlight w:val="none"/>
        </w:rPr>
        <w:t>附表一</w:t>
      </w:r>
      <w:r>
        <w:rPr>
          <w:rFonts w:ascii="宋体" w:hAnsi="宋体" w:cs="MingLiU"/>
          <w:color w:val="auto"/>
          <w:kern w:val="0"/>
          <w:szCs w:val="21"/>
          <w:highlight w:val="none"/>
        </w:rPr>
        <w:tab/>
      </w:r>
      <w:r>
        <w:rPr>
          <w:rFonts w:hint="eastAsia" w:ascii="宋体" w:hAnsi="宋体" w:cs="MingLiU"/>
          <w:color w:val="auto"/>
          <w:kern w:val="0"/>
          <w:szCs w:val="21"/>
          <w:highlight w:val="none"/>
        </w:rPr>
        <w:t>拟投入本标段的主要施工设备表</w:t>
      </w:r>
    </w:p>
    <w:p w14:paraId="1A3D8A19">
      <w:pPr>
        <w:tabs>
          <w:tab w:val="left" w:pos="1700"/>
        </w:tabs>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hint="eastAsia" w:ascii="宋体" w:hAnsi="宋体" w:cs="MingLiU"/>
          <w:color w:val="auto"/>
          <w:kern w:val="0"/>
          <w:szCs w:val="21"/>
          <w:highlight w:val="none"/>
        </w:rPr>
        <w:t>附表二</w:t>
      </w:r>
      <w:r>
        <w:rPr>
          <w:rFonts w:ascii="宋体" w:hAnsi="宋体" w:cs="MingLiU"/>
          <w:color w:val="auto"/>
          <w:kern w:val="0"/>
          <w:szCs w:val="21"/>
          <w:highlight w:val="none"/>
        </w:rPr>
        <w:tab/>
      </w:r>
      <w:r>
        <w:rPr>
          <w:rFonts w:hint="eastAsia" w:ascii="宋体" w:hAnsi="宋体" w:cs="MingLiU"/>
          <w:color w:val="auto"/>
          <w:kern w:val="0"/>
          <w:szCs w:val="21"/>
          <w:highlight w:val="none"/>
        </w:rPr>
        <w:t>拟配备本标段的试验和检测仪器设备表</w:t>
      </w:r>
    </w:p>
    <w:p w14:paraId="4E22EE2C">
      <w:pPr>
        <w:tabs>
          <w:tab w:val="left" w:pos="1700"/>
        </w:tabs>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hint="eastAsia" w:ascii="宋体" w:hAnsi="宋体" w:cs="MingLiU"/>
          <w:color w:val="auto"/>
          <w:kern w:val="0"/>
          <w:szCs w:val="21"/>
          <w:highlight w:val="none"/>
        </w:rPr>
        <w:t>附表三</w:t>
      </w:r>
      <w:r>
        <w:rPr>
          <w:rFonts w:ascii="宋体" w:hAnsi="宋体" w:cs="MingLiU"/>
          <w:color w:val="auto"/>
          <w:kern w:val="0"/>
          <w:szCs w:val="21"/>
          <w:highlight w:val="none"/>
        </w:rPr>
        <w:tab/>
      </w:r>
      <w:r>
        <w:rPr>
          <w:rFonts w:hint="eastAsia" w:ascii="宋体" w:hAnsi="宋体" w:cs="MingLiU"/>
          <w:color w:val="auto"/>
          <w:kern w:val="0"/>
          <w:szCs w:val="21"/>
          <w:highlight w:val="none"/>
        </w:rPr>
        <w:t>劳动力计划表</w:t>
      </w:r>
    </w:p>
    <w:p w14:paraId="609C132A">
      <w:pPr>
        <w:tabs>
          <w:tab w:val="left" w:pos="1700"/>
        </w:tabs>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hint="eastAsia" w:ascii="宋体" w:hAnsi="宋体" w:cs="MingLiU"/>
          <w:color w:val="auto"/>
          <w:kern w:val="0"/>
          <w:szCs w:val="21"/>
          <w:highlight w:val="none"/>
        </w:rPr>
        <w:t>附表四</w:t>
      </w:r>
      <w:r>
        <w:rPr>
          <w:rFonts w:ascii="宋体" w:hAnsi="宋体" w:cs="MingLiU"/>
          <w:color w:val="auto"/>
          <w:kern w:val="0"/>
          <w:szCs w:val="21"/>
          <w:highlight w:val="none"/>
        </w:rPr>
        <w:tab/>
      </w:r>
      <w:r>
        <w:rPr>
          <w:rFonts w:hint="eastAsia" w:ascii="宋体" w:hAnsi="宋体" w:cs="MingLiU"/>
          <w:color w:val="auto"/>
          <w:kern w:val="0"/>
          <w:szCs w:val="21"/>
          <w:highlight w:val="none"/>
        </w:rPr>
        <w:t>计划开、竣工日期和施工进度网络图</w:t>
      </w:r>
    </w:p>
    <w:p w14:paraId="466882E1">
      <w:pPr>
        <w:tabs>
          <w:tab w:val="left" w:pos="1700"/>
        </w:tabs>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hint="eastAsia" w:ascii="宋体" w:hAnsi="宋体" w:cs="MingLiU"/>
          <w:color w:val="auto"/>
          <w:kern w:val="0"/>
          <w:szCs w:val="21"/>
          <w:highlight w:val="none"/>
        </w:rPr>
        <w:t>附表五</w:t>
      </w:r>
      <w:r>
        <w:rPr>
          <w:rFonts w:ascii="宋体" w:hAnsi="宋体" w:cs="MingLiU"/>
          <w:color w:val="auto"/>
          <w:kern w:val="0"/>
          <w:szCs w:val="21"/>
          <w:highlight w:val="none"/>
        </w:rPr>
        <w:tab/>
      </w:r>
      <w:r>
        <w:rPr>
          <w:rFonts w:hint="eastAsia" w:ascii="宋体" w:hAnsi="宋体" w:cs="MingLiU"/>
          <w:color w:val="auto"/>
          <w:kern w:val="0"/>
          <w:szCs w:val="21"/>
          <w:highlight w:val="none"/>
        </w:rPr>
        <w:t>施工总平面图</w:t>
      </w:r>
    </w:p>
    <w:p w14:paraId="3C1FB60A">
      <w:pPr>
        <w:tabs>
          <w:tab w:val="left" w:pos="1700"/>
        </w:tabs>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hint="eastAsia" w:ascii="宋体" w:hAnsi="宋体" w:cs="MingLiU"/>
          <w:color w:val="auto"/>
          <w:kern w:val="0"/>
          <w:szCs w:val="21"/>
          <w:highlight w:val="none"/>
        </w:rPr>
        <w:t>附表六</w:t>
      </w:r>
      <w:r>
        <w:rPr>
          <w:rFonts w:ascii="宋体" w:hAnsi="宋体" w:cs="MingLiU"/>
          <w:color w:val="auto"/>
          <w:kern w:val="0"/>
          <w:szCs w:val="21"/>
          <w:highlight w:val="none"/>
        </w:rPr>
        <w:tab/>
      </w:r>
      <w:r>
        <w:rPr>
          <w:rFonts w:hint="eastAsia" w:ascii="宋体" w:hAnsi="宋体" w:cs="MingLiU"/>
          <w:color w:val="auto"/>
          <w:kern w:val="0"/>
          <w:szCs w:val="21"/>
          <w:highlight w:val="none"/>
        </w:rPr>
        <w:t>临时用地表</w:t>
      </w:r>
    </w:p>
    <w:p w14:paraId="4D07B131">
      <w:pPr>
        <w:autoSpaceDE w:val="0"/>
        <w:autoSpaceDN w:val="0"/>
        <w:adjustRightInd w:val="0"/>
        <w:snapToGrid w:val="0"/>
        <w:spacing w:line="360" w:lineRule="auto"/>
        <w:jc w:val="left"/>
        <w:rPr>
          <w:rFonts w:ascii="宋体" w:hAnsi="宋体" w:cs="MingLiU"/>
          <w:color w:val="auto"/>
          <w:kern w:val="0"/>
          <w:sz w:val="24"/>
          <w:highlight w:val="none"/>
        </w:rPr>
      </w:pPr>
    </w:p>
    <w:p w14:paraId="5567F282">
      <w:pPr>
        <w:autoSpaceDE w:val="0"/>
        <w:autoSpaceDN w:val="0"/>
        <w:adjustRightInd w:val="0"/>
        <w:snapToGrid w:val="0"/>
        <w:spacing w:line="360" w:lineRule="auto"/>
        <w:jc w:val="left"/>
        <w:rPr>
          <w:rFonts w:ascii="宋体" w:hAnsi="宋体" w:cs="MingLiU"/>
          <w:color w:val="auto"/>
          <w:kern w:val="0"/>
          <w:sz w:val="24"/>
          <w:highlight w:val="none"/>
        </w:rPr>
      </w:pPr>
    </w:p>
    <w:p w14:paraId="09E03F47">
      <w:pPr>
        <w:autoSpaceDE w:val="0"/>
        <w:autoSpaceDN w:val="0"/>
        <w:adjustRightInd w:val="0"/>
        <w:snapToGrid w:val="0"/>
        <w:spacing w:line="360" w:lineRule="auto"/>
        <w:jc w:val="left"/>
        <w:rPr>
          <w:rFonts w:ascii="宋体" w:hAnsi="宋体" w:cs="MingLiU"/>
          <w:color w:val="auto"/>
          <w:kern w:val="0"/>
          <w:sz w:val="24"/>
          <w:highlight w:val="none"/>
        </w:rPr>
      </w:pPr>
    </w:p>
    <w:p w14:paraId="1FEDC2DC">
      <w:pPr>
        <w:autoSpaceDE w:val="0"/>
        <w:autoSpaceDN w:val="0"/>
        <w:adjustRightInd w:val="0"/>
        <w:snapToGrid w:val="0"/>
        <w:spacing w:line="360" w:lineRule="auto"/>
        <w:jc w:val="left"/>
        <w:rPr>
          <w:rFonts w:ascii="宋体" w:hAnsi="宋体" w:cs="MingLiU"/>
          <w:color w:val="auto"/>
          <w:kern w:val="0"/>
          <w:sz w:val="24"/>
          <w:highlight w:val="none"/>
        </w:rPr>
      </w:pPr>
    </w:p>
    <w:p w14:paraId="2961C140">
      <w:pPr>
        <w:autoSpaceDE w:val="0"/>
        <w:autoSpaceDN w:val="0"/>
        <w:adjustRightInd w:val="0"/>
        <w:snapToGrid w:val="0"/>
        <w:spacing w:line="360" w:lineRule="auto"/>
        <w:jc w:val="left"/>
        <w:rPr>
          <w:rFonts w:ascii="宋体" w:hAnsi="宋体" w:cs="MingLiU"/>
          <w:color w:val="auto"/>
          <w:kern w:val="0"/>
          <w:sz w:val="24"/>
          <w:highlight w:val="none"/>
        </w:rPr>
      </w:pPr>
    </w:p>
    <w:p w14:paraId="36F95D9A">
      <w:pPr>
        <w:autoSpaceDE w:val="0"/>
        <w:autoSpaceDN w:val="0"/>
        <w:adjustRightInd w:val="0"/>
        <w:snapToGrid w:val="0"/>
        <w:spacing w:line="360" w:lineRule="auto"/>
        <w:jc w:val="left"/>
        <w:rPr>
          <w:rFonts w:ascii="宋体" w:hAnsi="宋体" w:cs="MingLiU"/>
          <w:color w:val="auto"/>
          <w:kern w:val="0"/>
          <w:sz w:val="24"/>
          <w:highlight w:val="none"/>
        </w:rPr>
      </w:pPr>
    </w:p>
    <w:p w14:paraId="7F75F3A1">
      <w:pPr>
        <w:autoSpaceDE w:val="0"/>
        <w:autoSpaceDN w:val="0"/>
        <w:adjustRightInd w:val="0"/>
        <w:snapToGrid w:val="0"/>
        <w:spacing w:line="360" w:lineRule="auto"/>
        <w:jc w:val="left"/>
        <w:rPr>
          <w:rFonts w:ascii="宋体" w:hAnsi="宋体" w:cs="MingLiU"/>
          <w:color w:val="auto"/>
          <w:kern w:val="0"/>
          <w:sz w:val="24"/>
          <w:highlight w:val="none"/>
        </w:rPr>
      </w:pPr>
    </w:p>
    <w:p w14:paraId="4D9AB62E">
      <w:pPr>
        <w:autoSpaceDE w:val="0"/>
        <w:autoSpaceDN w:val="0"/>
        <w:adjustRightInd w:val="0"/>
        <w:snapToGrid w:val="0"/>
        <w:spacing w:line="360" w:lineRule="auto"/>
        <w:jc w:val="left"/>
        <w:rPr>
          <w:rFonts w:ascii="宋体" w:hAnsi="宋体" w:cs="MingLiU"/>
          <w:color w:val="auto"/>
          <w:kern w:val="0"/>
          <w:sz w:val="24"/>
          <w:highlight w:val="none"/>
        </w:rPr>
      </w:pPr>
    </w:p>
    <w:p w14:paraId="0506DD54">
      <w:pPr>
        <w:autoSpaceDE w:val="0"/>
        <w:autoSpaceDN w:val="0"/>
        <w:adjustRightInd w:val="0"/>
        <w:snapToGrid w:val="0"/>
        <w:spacing w:line="360" w:lineRule="auto"/>
        <w:jc w:val="left"/>
        <w:rPr>
          <w:rFonts w:ascii="宋体" w:hAnsi="宋体" w:cs="MingLiU"/>
          <w:color w:val="auto"/>
          <w:kern w:val="0"/>
          <w:sz w:val="24"/>
          <w:highlight w:val="none"/>
        </w:rPr>
      </w:pPr>
    </w:p>
    <w:p w14:paraId="4B532DEF">
      <w:pPr>
        <w:autoSpaceDE w:val="0"/>
        <w:autoSpaceDN w:val="0"/>
        <w:adjustRightInd w:val="0"/>
        <w:snapToGrid w:val="0"/>
        <w:spacing w:line="360" w:lineRule="auto"/>
        <w:jc w:val="left"/>
        <w:rPr>
          <w:rFonts w:ascii="宋体" w:hAnsi="宋体" w:cs="MingLiU"/>
          <w:color w:val="auto"/>
          <w:kern w:val="0"/>
          <w:sz w:val="24"/>
          <w:highlight w:val="none"/>
        </w:rPr>
      </w:pPr>
    </w:p>
    <w:p w14:paraId="35FC307E">
      <w:pPr>
        <w:autoSpaceDE w:val="0"/>
        <w:autoSpaceDN w:val="0"/>
        <w:adjustRightInd w:val="0"/>
        <w:snapToGrid w:val="0"/>
        <w:spacing w:line="360" w:lineRule="auto"/>
        <w:jc w:val="left"/>
        <w:rPr>
          <w:rFonts w:ascii="宋体" w:hAnsi="宋体" w:cs="MingLiU"/>
          <w:color w:val="auto"/>
          <w:kern w:val="0"/>
          <w:sz w:val="24"/>
          <w:highlight w:val="none"/>
        </w:rPr>
      </w:pPr>
    </w:p>
    <w:p w14:paraId="0A3D88F2">
      <w:pPr>
        <w:autoSpaceDE w:val="0"/>
        <w:autoSpaceDN w:val="0"/>
        <w:adjustRightInd w:val="0"/>
        <w:snapToGrid w:val="0"/>
        <w:spacing w:line="360" w:lineRule="auto"/>
        <w:jc w:val="left"/>
        <w:rPr>
          <w:rFonts w:ascii="宋体" w:hAnsi="宋体" w:cs="MingLiU"/>
          <w:color w:val="auto"/>
          <w:kern w:val="0"/>
          <w:sz w:val="24"/>
          <w:highlight w:val="none"/>
        </w:rPr>
      </w:pPr>
    </w:p>
    <w:p w14:paraId="36D75026">
      <w:pPr>
        <w:autoSpaceDE w:val="0"/>
        <w:autoSpaceDN w:val="0"/>
        <w:adjustRightInd w:val="0"/>
        <w:snapToGrid w:val="0"/>
        <w:spacing w:line="360" w:lineRule="auto"/>
        <w:jc w:val="left"/>
        <w:rPr>
          <w:rFonts w:ascii="宋体" w:hAnsi="宋体" w:cs="MingLiU"/>
          <w:color w:val="auto"/>
          <w:kern w:val="0"/>
          <w:sz w:val="24"/>
          <w:highlight w:val="none"/>
        </w:rPr>
      </w:pPr>
    </w:p>
    <w:p w14:paraId="4D6B25DB">
      <w:pPr>
        <w:autoSpaceDE w:val="0"/>
        <w:autoSpaceDN w:val="0"/>
        <w:adjustRightInd w:val="0"/>
        <w:snapToGrid w:val="0"/>
        <w:spacing w:line="360" w:lineRule="auto"/>
        <w:jc w:val="left"/>
        <w:rPr>
          <w:rFonts w:ascii="宋体" w:hAnsi="宋体" w:cs="MingLiU"/>
          <w:color w:val="auto"/>
          <w:kern w:val="0"/>
          <w:sz w:val="24"/>
          <w:highlight w:val="none"/>
        </w:rPr>
      </w:pPr>
    </w:p>
    <w:p w14:paraId="5588E465">
      <w:pPr>
        <w:pStyle w:val="5"/>
        <w:jc w:val="center"/>
        <w:rPr>
          <w:rFonts w:ascii="宋体" w:hAnsi="宋体"/>
          <w:color w:val="auto"/>
          <w:sz w:val="28"/>
          <w:highlight w:val="none"/>
        </w:rPr>
      </w:pPr>
      <w:bookmarkStart w:id="2967" w:name="_Toc11365"/>
      <w:bookmarkStart w:id="2968" w:name="_Toc224103504"/>
      <w:bookmarkStart w:id="2969" w:name="_Toc26077"/>
      <w:bookmarkStart w:id="2970" w:name="_Toc287620823"/>
      <w:bookmarkStart w:id="2971" w:name="_Toc16000475"/>
      <w:bookmarkStart w:id="2972" w:name="_Toc22313"/>
      <w:bookmarkStart w:id="2973" w:name="_Toc277082650"/>
      <w:bookmarkStart w:id="2974" w:name="_Toc287607876"/>
      <w:bookmarkStart w:id="2975" w:name="_Toc287607879"/>
      <w:bookmarkStart w:id="2976" w:name="_Toc277082653"/>
      <w:bookmarkStart w:id="2977" w:name="_Toc224103507"/>
      <w:bookmarkStart w:id="2978" w:name="_Toc287620826"/>
      <w:r>
        <w:rPr>
          <w:rFonts w:hint="eastAsia" w:ascii="宋体" w:hAnsi="宋体"/>
          <w:color w:val="auto"/>
          <w:sz w:val="28"/>
          <w:highlight w:val="none"/>
        </w:rPr>
        <w:t>附表一：拟投入本标段的主要施工设备表</w:t>
      </w:r>
      <w:bookmarkEnd w:id="2967"/>
      <w:bookmarkEnd w:id="2968"/>
      <w:bookmarkEnd w:id="2969"/>
      <w:bookmarkEnd w:id="2970"/>
      <w:bookmarkEnd w:id="2971"/>
      <w:bookmarkEnd w:id="2972"/>
      <w:bookmarkEnd w:id="2973"/>
      <w:bookmarkEnd w:id="2974"/>
    </w:p>
    <w:p w14:paraId="2A75F1E2">
      <w:pPr>
        <w:autoSpaceDE w:val="0"/>
        <w:autoSpaceDN w:val="0"/>
        <w:adjustRightInd w:val="0"/>
        <w:snapToGrid w:val="0"/>
        <w:spacing w:line="360" w:lineRule="auto"/>
        <w:jc w:val="left"/>
        <w:rPr>
          <w:rFonts w:ascii="宋体" w:hAnsi="宋体" w:cs="MingLiU"/>
          <w:color w:val="auto"/>
          <w:kern w:val="0"/>
          <w:sz w:val="26"/>
          <w:szCs w:val="26"/>
          <w:highlight w:val="none"/>
        </w:rPr>
      </w:pPr>
    </w:p>
    <w:tbl>
      <w:tblPr>
        <w:tblStyle w:val="46"/>
        <w:tblW w:w="8745" w:type="dxa"/>
        <w:tblInd w:w="5" w:type="dxa"/>
        <w:tblLayout w:type="fixed"/>
        <w:tblCellMar>
          <w:top w:w="0" w:type="dxa"/>
          <w:left w:w="0" w:type="dxa"/>
          <w:bottom w:w="0" w:type="dxa"/>
          <w:right w:w="0" w:type="dxa"/>
        </w:tblCellMar>
      </w:tblPr>
      <w:tblGrid>
        <w:gridCol w:w="665"/>
        <w:gridCol w:w="1086"/>
        <w:gridCol w:w="761"/>
        <w:gridCol w:w="990"/>
        <w:gridCol w:w="672"/>
        <w:gridCol w:w="738"/>
        <w:gridCol w:w="1212"/>
        <w:gridCol w:w="875"/>
        <w:gridCol w:w="1054"/>
        <w:gridCol w:w="692"/>
      </w:tblGrid>
      <w:tr w14:paraId="6A61EF0A">
        <w:tblPrEx>
          <w:tblCellMar>
            <w:top w:w="0" w:type="dxa"/>
            <w:left w:w="0" w:type="dxa"/>
            <w:bottom w:w="0" w:type="dxa"/>
            <w:right w:w="0" w:type="dxa"/>
          </w:tblCellMar>
        </w:tblPrEx>
        <w:trPr>
          <w:trHeight w:val="889" w:hRule="exact"/>
        </w:trPr>
        <w:tc>
          <w:tcPr>
            <w:tcW w:w="665" w:type="dxa"/>
            <w:tcBorders>
              <w:top w:val="single" w:color="000000" w:sz="4" w:space="0"/>
              <w:left w:val="single" w:color="000000" w:sz="4" w:space="0"/>
              <w:bottom w:val="single" w:color="000000" w:sz="4" w:space="0"/>
              <w:right w:val="single" w:color="000000" w:sz="4" w:space="0"/>
            </w:tcBorders>
            <w:vAlign w:val="center"/>
          </w:tcPr>
          <w:p w14:paraId="05328398">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序号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4902E0E9">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设备名称</w:t>
            </w:r>
          </w:p>
        </w:tc>
        <w:tc>
          <w:tcPr>
            <w:tcW w:w="761" w:type="dxa"/>
            <w:tcBorders>
              <w:top w:val="single" w:color="000000" w:sz="4" w:space="0"/>
              <w:left w:val="single" w:color="000000" w:sz="4" w:space="0"/>
              <w:bottom w:val="single" w:color="000000" w:sz="4" w:space="0"/>
              <w:right w:val="single" w:color="000000" w:sz="4" w:space="0"/>
            </w:tcBorders>
            <w:vAlign w:val="center"/>
          </w:tcPr>
          <w:p w14:paraId="39D20ED2">
            <w:pPr>
              <w:autoSpaceDE w:val="0"/>
              <w:autoSpaceDN w:val="0"/>
              <w:adjustRightInd w:val="0"/>
              <w:snapToGrid w:val="0"/>
              <w:spacing w:line="360" w:lineRule="auto"/>
              <w:jc w:val="center"/>
              <w:rPr>
                <w:rFonts w:ascii="宋体" w:hAnsi="宋体" w:cs="MingLiU"/>
                <w:color w:val="auto"/>
                <w:kern w:val="0"/>
                <w:szCs w:val="21"/>
                <w:highlight w:val="none"/>
              </w:rPr>
            </w:pPr>
            <w:r>
              <w:rPr>
                <w:rFonts w:hint="eastAsia" w:ascii="宋体" w:hAnsi="宋体" w:cs="MingLiU"/>
                <w:color w:val="auto"/>
                <w:kern w:val="0"/>
                <w:szCs w:val="21"/>
                <w:highlight w:val="none"/>
              </w:rPr>
              <w:t>型号</w:t>
            </w:r>
          </w:p>
          <w:p w14:paraId="5C1A2540">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规格</w:t>
            </w:r>
          </w:p>
        </w:tc>
        <w:tc>
          <w:tcPr>
            <w:tcW w:w="990" w:type="dxa"/>
            <w:tcBorders>
              <w:top w:val="single" w:color="000000" w:sz="4" w:space="0"/>
              <w:left w:val="single" w:color="000000" w:sz="4" w:space="0"/>
              <w:bottom w:val="single" w:color="000000" w:sz="4" w:space="0"/>
              <w:right w:val="single" w:color="000000" w:sz="4" w:space="0"/>
            </w:tcBorders>
            <w:vAlign w:val="center"/>
          </w:tcPr>
          <w:p w14:paraId="7E4F18DE">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数量</w:t>
            </w:r>
          </w:p>
        </w:tc>
        <w:tc>
          <w:tcPr>
            <w:tcW w:w="672" w:type="dxa"/>
            <w:tcBorders>
              <w:top w:val="single" w:color="000000" w:sz="4" w:space="0"/>
              <w:left w:val="single" w:color="000000" w:sz="4" w:space="0"/>
              <w:bottom w:val="single" w:color="000000" w:sz="4" w:space="0"/>
              <w:right w:val="single" w:color="000000" w:sz="4" w:space="0"/>
            </w:tcBorders>
            <w:vAlign w:val="center"/>
          </w:tcPr>
          <w:p w14:paraId="38F912B6">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国别产地</w:t>
            </w:r>
          </w:p>
        </w:tc>
        <w:tc>
          <w:tcPr>
            <w:tcW w:w="738" w:type="dxa"/>
            <w:tcBorders>
              <w:top w:val="single" w:color="000000" w:sz="4" w:space="0"/>
              <w:left w:val="single" w:color="000000" w:sz="4" w:space="0"/>
              <w:bottom w:val="single" w:color="000000" w:sz="4" w:space="0"/>
              <w:right w:val="single" w:color="000000" w:sz="4" w:space="0"/>
            </w:tcBorders>
            <w:vAlign w:val="center"/>
          </w:tcPr>
          <w:p w14:paraId="7615F012">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制造年份</w:t>
            </w:r>
          </w:p>
        </w:tc>
        <w:tc>
          <w:tcPr>
            <w:tcW w:w="1212" w:type="dxa"/>
            <w:tcBorders>
              <w:top w:val="single" w:color="000000" w:sz="4" w:space="0"/>
              <w:left w:val="single" w:color="000000" w:sz="4" w:space="0"/>
              <w:bottom w:val="single" w:color="000000" w:sz="4" w:space="0"/>
              <w:right w:val="single" w:color="000000" w:sz="4" w:space="0"/>
            </w:tcBorders>
            <w:vAlign w:val="center"/>
          </w:tcPr>
          <w:p w14:paraId="602A5C69">
            <w:pPr>
              <w:autoSpaceDE w:val="0"/>
              <w:autoSpaceDN w:val="0"/>
              <w:adjustRightInd w:val="0"/>
              <w:snapToGrid w:val="0"/>
              <w:spacing w:line="360" w:lineRule="auto"/>
              <w:jc w:val="center"/>
              <w:rPr>
                <w:rFonts w:ascii="宋体" w:hAnsi="宋体" w:cs="MingLiU"/>
                <w:color w:val="auto"/>
                <w:kern w:val="0"/>
                <w:szCs w:val="21"/>
                <w:highlight w:val="none"/>
              </w:rPr>
            </w:pPr>
            <w:r>
              <w:rPr>
                <w:rFonts w:hint="eastAsia" w:ascii="宋体" w:hAnsi="宋体" w:cs="MingLiU"/>
                <w:color w:val="auto"/>
                <w:kern w:val="0"/>
                <w:szCs w:val="21"/>
                <w:highlight w:val="none"/>
              </w:rPr>
              <w:t>额定功率</w:t>
            </w:r>
          </w:p>
          <w:p w14:paraId="7C670394">
            <w:pPr>
              <w:autoSpaceDE w:val="0"/>
              <w:autoSpaceDN w:val="0"/>
              <w:adjustRightInd w:val="0"/>
              <w:snapToGrid w:val="0"/>
              <w:spacing w:line="360" w:lineRule="auto"/>
              <w:jc w:val="center"/>
              <w:rPr>
                <w:rFonts w:ascii="宋体" w:hAnsi="宋体"/>
                <w:color w:val="auto"/>
                <w:kern w:val="0"/>
                <w:sz w:val="10"/>
                <w:szCs w:val="10"/>
                <w:highlight w:val="none"/>
              </w:rPr>
            </w:pPr>
          </w:p>
          <w:p w14:paraId="7D017D0D">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w:t>
            </w:r>
            <w:r>
              <w:rPr>
                <w:rFonts w:ascii="宋体" w:hAnsi="宋体"/>
                <w:color w:val="auto"/>
                <w:kern w:val="0"/>
                <w:szCs w:val="21"/>
                <w:highlight w:val="none"/>
              </w:rPr>
              <w:t>KW</w:t>
            </w:r>
            <w:r>
              <w:rPr>
                <w:rFonts w:hint="eastAsia" w:ascii="宋体" w:hAnsi="宋体" w:cs="MingLiU"/>
                <w:color w:val="auto"/>
                <w:kern w:val="0"/>
                <w:szCs w:val="21"/>
                <w:highlight w:val="none"/>
              </w:rPr>
              <w:t>）</w:t>
            </w:r>
          </w:p>
        </w:tc>
        <w:tc>
          <w:tcPr>
            <w:tcW w:w="875" w:type="dxa"/>
            <w:tcBorders>
              <w:top w:val="single" w:color="000000" w:sz="4" w:space="0"/>
              <w:left w:val="single" w:color="000000" w:sz="4" w:space="0"/>
              <w:bottom w:val="single" w:color="000000" w:sz="4" w:space="0"/>
              <w:right w:val="single" w:color="000000" w:sz="4" w:space="0"/>
            </w:tcBorders>
            <w:vAlign w:val="center"/>
          </w:tcPr>
          <w:p w14:paraId="7A5361C6">
            <w:pPr>
              <w:autoSpaceDE w:val="0"/>
              <w:autoSpaceDN w:val="0"/>
              <w:adjustRightInd w:val="0"/>
              <w:snapToGrid w:val="0"/>
              <w:spacing w:line="360" w:lineRule="auto"/>
              <w:jc w:val="center"/>
              <w:rPr>
                <w:rFonts w:ascii="宋体" w:hAnsi="宋体" w:cs="MingLiU"/>
                <w:color w:val="auto"/>
                <w:kern w:val="0"/>
                <w:szCs w:val="21"/>
                <w:highlight w:val="none"/>
              </w:rPr>
            </w:pPr>
            <w:r>
              <w:rPr>
                <w:rFonts w:hint="eastAsia" w:ascii="宋体" w:hAnsi="宋体" w:cs="MingLiU"/>
                <w:color w:val="auto"/>
                <w:kern w:val="0"/>
                <w:szCs w:val="21"/>
                <w:highlight w:val="none"/>
              </w:rPr>
              <w:t>生产</w:t>
            </w:r>
          </w:p>
          <w:p w14:paraId="4E517E32">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能力</w:t>
            </w:r>
          </w:p>
        </w:tc>
        <w:tc>
          <w:tcPr>
            <w:tcW w:w="1054" w:type="dxa"/>
            <w:tcBorders>
              <w:top w:val="single" w:color="000000" w:sz="4" w:space="0"/>
              <w:left w:val="single" w:color="000000" w:sz="4" w:space="0"/>
              <w:bottom w:val="single" w:color="000000" w:sz="4" w:space="0"/>
              <w:right w:val="single" w:color="000000" w:sz="4" w:space="0"/>
            </w:tcBorders>
            <w:vAlign w:val="center"/>
          </w:tcPr>
          <w:p w14:paraId="7EF73A4D">
            <w:pPr>
              <w:autoSpaceDE w:val="0"/>
              <w:autoSpaceDN w:val="0"/>
              <w:adjustRightInd w:val="0"/>
              <w:snapToGrid w:val="0"/>
              <w:spacing w:line="360" w:lineRule="auto"/>
              <w:jc w:val="center"/>
              <w:rPr>
                <w:rFonts w:ascii="宋体" w:hAnsi="宋体" w:cs="MingLiU"/>
                <w:color w:val="auto"/>
                <w:kern w:val="0"/>
                <w:szCs w:val="21"/>
                <w:highlight w:val="none"/>
              </w:rPr>
            </w:pPr>
            <w:r>
              <w:rPr>
                <w:rFonts w:hint="eastAsia" w:ascii="宋体" w:hAnsi="宋体" w:cs="MingLiU"/>
                <w:color w:val="auto"/>
                <w:kern w:val="0"/>
                <w:szCs w:val="21"/>
                <w:highlight w:val="none"/>
              </w:rPr>
              <w:t>用于施</w:t>
            </w:r>
          </w:p>
          <w:p w14:paraId="2E263456">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工部位</w:t>
            </w:r>
          </w:p>
        </w:tc>
        <w:tc>
          <w:tcPr>
            <w:tcW w:w="692" w:type="dxa"/>
            <w:tcBorders>
              <w:top w:val="single" w:color="000000" w:sz="4" w:space="0"/>
              <w:left w:val="single" w:color="000000" w:sz="4" w:space="0"/>
              <w:bottom w:val="single" w:color="000000" w:sz="4" w:space="0"/>
              <w:right w:val="single" w:color="000000" w:sz="4" w:space="0"/>
            </w:tcBorders>
            <w:vAlign w:val="center"/>
          </w:tcPr>
          <w:p w14:paraId="6E362A3E">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备注</w:t>
            </w:r>
          </w:p>
        </w:tc>
      </w:tr>
      <w:tr w14:paraId="59E5BFC7">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375D7CC0">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18525255">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3583686C">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149B17E3">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7788087A">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B316C20">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B4B6139">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0E1178E9">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40AB1AE6">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308C2388">
            <w:pPr>
              <w:autoSpaceDE w:val="0"/>
              <w:autoSpaceDN w:val="0"/>
              <w:adjustRightInd w:val="0"/>
              <w:snapToGrid w:val="0"/>
              <w:spacing w:line="360" w:lineRule="auto"/>
              <w:jc w:val="left"/>
              <w:rPr>
                <w:rFonts w:ascii="宋体" w:hAnsi="宋体"/>
                <w:color w:val="auto"/>
                <w:kern w:val="0"/>
                <w:sz w:val="24"/>
                <w:highlight w:val="none"/>
              </w:rPr>
            </w:pPr>
          </w:p>
        </w:tc>
      </w:tr>
      <w:tr w14:paraId="221E989E">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04D3C3E6">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1A23C118">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64A922F8">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60C67DCA">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00CE4AFB">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4186386D">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3A3D2444">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741247A6">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0288B78D">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0BA8735A">
            <w:pPr>
              <w:autoSpaceDE w:val="0"/>
              <w:autoSpaceDN w:val="0"/>
              <w:adjustRightInd w:val="0"/>
              <w:snapToGrid w:val="0"/>
              <w:spacing w:line="360" w:lineRule="auto"/>
              <w:jc w:val="left"/>
              <w:rPr>
                <w:rFonts w:ascii="宋体" w:hAnsi="宋体"/>
                <w:color w:val="auto"/>
                <w:kern w:val="0"/>
                <w:sz w:val="24"/>
                <w:highlight w:val="none"/>
              </w:rPr>
            </w:pPr>
          </w:p>
        </w:tc>
      </w:tr>
      <w:tr w14:paraId="7B4D7609">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77782117">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47A3E76F">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761F5703">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765206A1">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4E35C95">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BD248CD">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5697734">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434BFAAC">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24BA00D8">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1B12B613">
            <w:pPr>
              <w:autoSpaceDE w:val="0"/>
              <w:autoSpaceDN w:val="0"/>
              <w:adjustRightInd w:val="0"/>
              <w:snapToGrid w:val="0"/>
              <w:spacing w:line="360" w:lineRule="auto"/>
              <w:jc w:val="left"/>
              <w:rPr>
                <w:rFonts w:ascii="宋体" w:hAnsi="宋体"/>
                <w:color w:val="auto"/>
                <w:kern w:val="0"/>
                <w:sz w:val="24"/>
                <w:highlight w:val="none"/>
              </w:rPr>
            </w:pPr>
          </w:p>
        </w:tc>
      </w:tr>
      <w:tr w14:paraId="5710866F">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090AEFAD">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559A8F2A">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62CF53EB">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44DBD30E">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7DF959C1">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17684C7B">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5D22BA2E">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7B8F33DD">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5D7F8FFB">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27AD115A">
            <w:pPr>
              <w:autoSpaceDE w:val="0"/>
              <w:autoSpaceDN w:val="0"/>
              <w:adjustRightInd w:val="0"/>
              <w:snapToGrid w:val="0"/>
              <w:spacing w:line="360" w:lineRule="auto"/>
              <w:jc w:val="left"/>
              <w:rPr>
                <w:rFonts w:ascii="宋体" w:hAnsi="宋体"/>
                <w:color w:val="auto"/>
                <w:kern w:val="0"/>
                <w:sz w:val="24"/>
                <w:highlight w:val="none"/>
              </w:rPr>
            </w:pPr>
          </w:p>
        </w:tc>
      </w:tr>
      <w:tr w14:paraId="00AE25CD">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5581E92D">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42AC453E">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4CDD569A">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57B3A77B">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33F5395">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394AEFF9">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C371382">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92D3462">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4E77DB28">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3EC410E4">
            <w:pPr>
              <w:autoSpaceDE w:val="0"/>
              <w:autoSpaceDN w:val="0"/>
              <w:adjustRightInd w:val="0"/>
              <w:snapToGrid w:val="0"/>
              <w:spacing w:line="360" w:lineRule="auto"/>
              <w:jc w:val="left"/>
              <w:rPr>
                <w:rFonts w:ascii="宋体" w:hAnsi="宋体"/>
                <w:color w:val="auto"/>
                <w:kern w:val="0"/>
                <w:sz w:val="24"/>
                <w:highlight w:val="none"/>
              </w:rPr>
            </w:pPr>
          </w:p>
        </w:tc>
      </w:tr>
      <w:tr w14:paraId="1B5AA2C4">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203DA433">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797A879A">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5E1B42B4">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4BCE1ED6">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7DC59ED1">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4627350A">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C31597F">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2DD5A4C3">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6D3CA056">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248DE671">
            <w:pPr>
              <w:autoSpaceDE w:val="0"/>
              <w:autoSpaceDN w:val="0"/>
              <w:adjustRightInd w:val="0"/>
              <w:snapToGrid w:val="0"/>
              <w:spacing w:line="360" w:lineRule="auto"/>
              <w:jc w:val="left"/>
              <w:rPr>
                <w:rFonts w:ascii="宋体" w:hAnsi="宋体"/>
                <w:color w:val="auto"/>
                <w:kern w:val="0"/>
                <w:sz w:val="24"/>
                <w:highlight w:val="none"/>
              </w:rPr>
            </w:pPr>
          </w:p>
        </w:tc>
      </w:tr>
      <w:tr w14:paraId="0D530DB0">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76EB5CBC">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7D5E935F">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0405E7AF">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07A894AB">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E6FDBAE">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6D2E06C2">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4251504">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ACF2A4F">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0C49671E">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4A52DEFC">
            <w:pPr>
              <w:autoSpaceDE w:val="0"/>
              <w:autoSpaceDN w:val="0"/>
              <w:adjustRightInd w:val="0"/>
              <w:snapToGrid w:val="0"/>
              <w:spacing w:line="360" w:lineRule="auto"/>
              <w:jc w:val="left"/>
              <w:rPr>
                <w:rFonts w:ascii="宋体" w:hAnsi="宋体"/>
                <w:color w:val="auto"/>
                <w:kern w:val="0"/>
                <w:sz w:val="24"/>
                <w:highlight w:val="none"/>
              </w:rPr>
            </w:pPr>
          </w:p>
        </w:tc>
      </w:tr>
      <w:tr w14:paraId="6FCC7843">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1D10046F">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04C9CB0D">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0BA8A7C4">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10B9831B">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0CDD7069">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1A2DEE9">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FD84888">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01B220F0">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3F9FA275">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59DA9F53">
            <w:pPr>
              <w:autoSpaceDE w:val="0"/>
              <w:autoSpaceDN w:val="0"/>
              <w:adjustRightInd w:val="0"/>
              <w:snapToGrid w:val="0"/>
              <w:spacing w:line="360" w:lineRule="auto"/>
              <w:jc w:val="left"/>
              <w:rPr>
                <w:rFonts w:ascii="宋体" w:hAnsi="宋体"/>
                <w:color w:val="auto"/>
                <w:kern w:val="0"/>
                <w:sz w:val="24"/>
                <w:highlight w:val="none"/>
              </w:rPr>
            </w:pPr>
          </w:p>
        </w:tc>
      </w:tr>
      <w:tr w14:paraId="74459983">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6EEDD701">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42E81984">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6482D2F5">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366A24F4">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05D6945">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5D9519AB">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5D43EEF">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549318DE">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28B02E22">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3C58C4AC">
            <w:pPr>
              <w:autoSpaceDE w:val="0"/>
              <w:autoSpaceDN w:val="0"/>
              <w:adjustRightInd w:val="0"/>
              <w:snapToGrid w:val="0"/>
              <w:spacing w:line="360" w:lineRule="auto"/>
              <w:jc w:val="left"/>
              <w:rPr>
                <w:rFonts w:ascii="宋体" w:hAnsi="宋体"/>
                <w:color w:val="auto"/>
                <w:kern w:val="0"/>
                <w:sz w:val="24"/>
                <w:highlight w:val="none"/>
              </w:rPr>
            </w:pPr>
          </w:p>
        </w:tc>
      </w:tr>
      <w:tr w14:paraId="249EFA86">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5B3E2BB5">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18E1B8DC">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34BBACEE">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7494EBC3">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B28A4CF">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306767DE">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270A98C6">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4FD8ABC6">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0B11EEA5">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142E75D5">
            <w:pPr>
              <w:autoSpaceDE w:val="0"/>
              <w:autoSpaceDN w:val="0"/>
              <w:adjustRightInd w:val="0"/>
              <w:snapToGrid w:val="0"/>
              <w:spacing w:line="360" w:lineRule="auto"/>
              <w:jc w:val="left"/>
              <w:rPr>
                <w:rFonts w:ascii="宋体" w:hAnsi="宋体"/>
                <w:color w:val="auto"/>
                <w:kern w:val="0"/>
                <w:sz w:val="24"/>
                <w:highlight w:val="none"/>
              </w:rPr>
            </w:pPr>
          </w:p>
        </w:tc>
      </w:tr>
      <w:tr w14:paraId="7454F2D0">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1FC63F97">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46ABC357">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503B7971">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7FD34A91">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E858E9A">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13F406A7">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8F2A0F0">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6DAEEA3F">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0FF63C2B">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1C0297E0">
            <w:pPr>
              <w:autoSpaceDE w:val="0"/>
              <w:autoSpaceDN w:val="0"/>
              <w:adjustRightInd w:val="0"/>
              <w:snapToGrid w:val="0"/>
              <w:spacing w:line="360" w:lineRule="auto"/>
              <w:jc w:val="left"/>
              <w:rPr>
                <w:rFonts w:ascii="宋体" w:hAnsi="宋体"/>
                <w:color w:val="auto"/>
                <w:kern w:val="0"/>
                <w:sz w:val="24"/>
                <w:highlight w:val="none"/>
              </w:rPr>
            </w:pPr>
          </w:p>
        </w:tc>
      </w:tr>
      <w:tr w14:paraId="40DD0F8F">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07BCAF9B">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6F39B146">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42711F10">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15558257">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643FF18">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6EF1940E">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19100D43">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2203F96C">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388286D5">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22CB5C96">
            <w:pPr>
              <w:autoSpaceDE w:val="0"/>
              <w:autoSpaceDN w:val="0"/>
              <w:adjustRightInd w:val="0"/>
              <w:snapToGrid w:val="0"/>
              <w:spacing w:line="360" w:lineRule="auto"/>
              <w:jc w:val="left"/>
              <w:rPr>
                <w:rFonts w:ascii="宋体" w:hAnsi="宋体"/>
                <w:color w:val="auto"/>
                <w:kern w:val="0"/>
                <w:sz w:val="24"/>
                <w:highlight w:val="none"/>
              </w:rPr>
            </w:pPr>
          </w:p>
        </w:tc>
      </w:tr>
      <w:tr w14:paraId="200F8D0D">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697CEF37">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187A9BDC">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66ECE140">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473DA442">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DA913CE">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C232E0A">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BF8F487">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6D1D853">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7AAAD788">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6F75EEA4">
            <w:pPr>
              <w:autoSpaceDE w:val="0"/>
              <w:autoSpaceDN w:val="0"/>
              <w:adjustRightInd w:val="0"/>
              <w:snapToGrid w:val="0"/>
              <w:spacing w:line="360" w:lineRule="auto"/>
              <w:jc w:val="left"/>
              <w:rPr>
                <w:rFonts w:ascii="宋体" w:hAnsi="宋体"/>
                <w:color w:val="auto"/>
                <w:kern w:val="0"/>
                <w:sz w:val="24"/>
                <w:highlight w:val="none"/>
              </w:rPr>
            </w:pPr>
          </w:p>
        </w:tc>
      </w:tr>
      <w:tr w14:paraId="0ABEF135">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14F85B89">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1F54390B">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03B693C8">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6137FC48">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2EE7B98">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4168ED73">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75BCC4B4">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51E071BD">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794EE8F4">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75D96CDB">
            <w:pPr>
              <w:autoSpaceDE w:val="0"/>
              <w:autoSpaceDN w:val="0"/>
              <w:adjustRightInd w:val="0"/>
              <w:snapToGrid w:val="0"/>
              <w:spacing w:line="360" w:lineRule="auto"/>
              <w:jc w:val="left"/>
              <w:rPr>
                <w:rFonts w:ascii="宋体" w:hAnsi="宋体"/>
                <w:color w:val="auto"/>
                <w:kern w:val="0"/>
                <w:sz w:val="24"/>
                <w:highlight w:val="none"/>
              </w:rPr>
            </w:pPr>
          </w:p>
        </w:tc>
      </w:tr>
      <w:tr w14:paraId="431D53FB">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1B7DF766">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131CBCE6">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4450C1DB">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4D637F3C">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6A9EDFB">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6A479442">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21E45AAB">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61E71969">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398FAFDC">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530E4810">
            <w:pPr>
              <w:autoSpaceDE w:val="0"/>
              <w:autoSpaceDN w:val="0"/>
              <w:adjustRightInd w:val="0"/>
              <w:snapToGrid w:val="0"/>
              <w:spacing w:line="360" w:lineRule="auto"/>
              <w:jc w:val="left"/>
              <w:rPr>
                <w:rFonts w:ascii="宋体" w:hAnsi="宋体"/>
                <w:color w:val="auto"/>
                <w:kern w:val="0"/>
                <w:sz w:val="24"/>
                <w:highlight w:val="none"/>
              </w:rPr>
            </w:pPr>
          </w:p>
        </w:tc>
      </w:tr>
      <w:tr w14:paraId="40C856AA">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0969D0E6">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0CE134A4">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7A2010C2">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3852FC34">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096D16B">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3141796">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2CA3381A">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1C3951E">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62002DAC">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599C027B">
            <w:pPr>
              <w:autoSpaceDE w:val="0"/>
              <w:autoSpaceDN w:val="0"/>
              <w:adjustRightInd w:val="0"/>
              <w:snapToGrid w:val="0"/>
              <w:spacing w:line="360" w:lineRule="auto"/>
              <w:jc w:val="left"/>
              <w:rPr>
                <w:rFonts w:ascii="宋体" w:hAnsi="宋体"/>
                <w:color w:val="auto"/>
                <w:kern w:val="0"/>
                <w:sz w:val="24"/>
                <w:highlight w:val="none"/>
              </w:rPr>
            </w:pPr>
          </w:p>
        </w:tc>
      </w:tr>
      <w:tr w14:paraId="425ED317">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2E4D4D46">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4F3A6ACE">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11876592">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30B73547">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7BF160B">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54D7D241">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51E9F8C0">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2973F01">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0C0D162F">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46ED0B5E">
            <w:pPr>
              <w:autoSpaceDE w:val="0"/>
              <w:autoSpaceDN w:val="0"/>
              <w:adjustRightInd w:val="0"/>
              <w:snapToGrid w:val="0"/>
              <w:spacing w:line="360" w:lineRule="auto"/>
              <w:jc w:val="left"/>
              <w:rPr>
                <w:rFonts w:ascii="宋体" w:hAnsi="宋体"/>
                <w:color w:val="auto"/>
                <w:kern w:val="0"/>
                <w:sz w:val="24"/>
                <w:highlight w:val="none"/>
              </w:rPr>
            </w:pPr>
          </w:p>
        </w:tc>
      </w:tr>
      <w:tr w14:paraId="3DD81DAA">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10E70269">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4D3385C9">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27C9EBB1">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10A7134B">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0C5828E">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6459172A">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62FE959">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085473D6">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2450821E">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1C22719C">
            <w:pPr>
              <w:autoSpaceDE w:val="0"/>
              <w:autoSpaceDN w:val="0"/>
              <w:adjustRightInd w:val="0"/>
              <w:snapToGrid w:val="0"/>
              <w:spacing w:line="360" w:lineRule="auto"/>
              <w:jc w:val="left"/>
              <w:rPr>
                <w:rFonts w:ascii="宋体" w:hAnsi="宋体"/>
                <w:color w:val="auto"/>
                <w:kern w:val="0"/>
                <w:sz w:val="24"/>
                <w:highlight w:val="none"/>
              </w:rPr>
            </w:pPr>
          </w:p>
        </w:tc>
      </w:tr>
      <w:tr w14:paraId="5D53731F">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7C4154A5">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291A9C03">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60A8324A">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733E256A">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D8AA72A">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50C76799">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1F03EA9">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1C531C0B">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52654891">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1B428A5F">
            <w:pPr>
              <w:autoSpaceDE w:val="0"/>
              <w:autoSpaceDN w:val="0"/>
              <w:adjustRightInd w:val="0"/>
              <w:snapToGrid w:val="0"/>
              <w:spacing w:line="360" w:lineRule="auto"/>
              <w:jc w:val="left"/>
              <w:rPr>
                <w:rFonts w:ascii="宋体" w:hAnsi="宋体"/>
                <w:color w:val="auto"/>
                <w:kern w:val="0"/>
                <w:sz w:val="24"/>
                <w:highlight w:val="none"/>
              </w:rPr>
            </w:pPr>
          </w:p>
        </w:tc>
      </w:tr>
      <w:tr w14:paraId="17D2A9C9">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117C1A84">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599A751B">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43E75454">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55631192">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12016D4">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3ED2AF5">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3F34644D">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92004C4">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57E2B083">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2C23BD86">
            <w:pPr>
              <w:autoSpaceDE w:val="0"/>
              <w:autoSpaceDN w:val="0"/>
              <w:adjustRightInd w:val="0"/>
              <w:snapToGrid w:val="0"/>
              <w:spacing w:line="360" w:lineRule="auto"/>
              <w:jc w:val="left"/>
              <w:rPr>
                <w:rFonts w:ascii="宋体" w:hAnsi="宋体"/>
                <w:color w:val="auto"/>
                <w:kern w:val="0"/>
                <w:sz w:val="24"/>
                <w:highlight w:val="none"/>
              </w:rPr>
            </w:pPr>
          </w:p>
        </w:tc>
      </w:tr>
      <w:tr w14:paraId="5ACAFFB5">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07119A1D">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73FA324A">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6780B6C1">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3D18AC6A">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932CEE3">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5EB774C2">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1751564">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E88BCF4">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180DD9A0">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375F6D5E">
            <w:pPr>
              <w:autoSpaceDE w:val="0"/>
              <w:autoSpaceDN w:val="0"/>
              <w:adjustRightInd w:val="0"/>
              <w:snapToGrid w:val="0"/>
              <w:spacing w:line="360" w:lineRule="auto"/>
              <w:jc w:val="left"/>
              <w:rPr>
                <w:rFonts w:ascii="宋体" w:hAnsi="宋体"/>
                <w:color w:val="auto"/>
                <w:kern w:val="0"/>
                <w:sz w:val="24"/>
                <w:highlight w:val="none"/>
              </w:rPr>
            </w:pPr>
          </w:p>
        </w:tc>
      </w:tr>
      <w:tr w14:paraId="30EC8409">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32C44D75">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4A8F91CD">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3D439F6C">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4693DE9D">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3F8E7503">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3EC8F1A">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301DFD1">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35E16846">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77166936">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02EAB080">
            <w:pPr>
              <w:autoSpaceDE w:val="0"/>
              <w:autoSpaceDN w:val="0"/>
              <w:adjustRightInd w:val="0"/>
              <w:snapToGrid w:val="0"/>
              <w:spacing w:line="360" w:lineRule="auto"/>
              <w:jc w:val="left"/>
              <w:rPr>
                <w:rFonts w:ascii="宋体" w:hAnsi="宋体"/>
                <w:color w:val="auto"/>
                <w:kern w:val="0"/>
                <w:sz w:val="24"/>
                <w:highlight w:val="none"/>
              </w:rPr>
            </w:pPr>
          </w:p>
        </w:tc>
      </w:tr>
      <w:tr w14:paraId="0EC5AA85">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14:paraId="14758FB3">
            <w:pPr>
              <w:autoSpaceDE w:val="0"/>
              <w:autoSpaceDN w:val="0"/>
              <w:adjustRightInd w:val="0"/>
              <w:snapToGrid w:val="0"/>
              <w:spacing w:line="360" w:lineRule="auto"/>
              <w:jc w:val="left"/>
              <w:rPr>
                <w:rFonts w:ascii="宋体" w:hAnsi="宋体"/>
                <w:color w:val="auto"/>
                <w:kern w:val="0"/>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14:paraId="57A27F88">
            <w:pPr>
              <w:autoSpaceDE w:val="0"/>
              <w:autoSpaceDN w:val="0"/>
              <w:adjustRightInd w:val="0"/>
              <w:snapToGrid w:val="0"/>
              <w:spacing w:line="360" w:lineRule="auto"/>
              <w:jc w:val="left"/>
              <w:rPr>
                <w:rFonts w:ascii="宋体" w:hAnsi="宋体"/>
                <w:color w:val="auto"/>
                <w:kern w:val="0"/>
                <w:sz w:val="24"/>
                <w:highlight w:val="none"/>
              </w:rPr>
            </w:pPr>
          </w:p>
        </w:tc>
        <w:tc>
          <w:tcPr>
            <w:tcW w:w="761" w:type="dxa"/>
            <w:tcBorders>
              <w:top w:val="single" w:color="000000" w:sz="4" w:space="0"/>
              <w:left w:val="single" w:color="000000" w:sz="4" w:space="0"/>
              <w:bottom w:val="single" w:color="000000" w:sz="4" w:space="0"/>
              <w:right w:val="single" w:color="000000" w:sz="4" w:space="0"/>
            </w:tcBorders>
          </w:tcPr>
          <w:p w14:paraId="448C0C15">
            <w:pPr>
              <w:autoSpaceDE w:val="0"/>
              <w:autoSpaceDN w:val="0"/>
              <w:adjustRightInd w:val="0"/>
              <w:snapToGrid w:val="0"/>
              <w:spacing w:line="360" w:lineRule="auto"/>
              <w:jc w:val="left"/>
              <w:rPr>
                <w:rFonts w:ascii="宋体" w:hAnsi="宋体"/>
                <w:color w:val="auto"/>
                <w:kern w:val="0"/>
                <w:sz w:val="24"/>
                <w:highlight w:val="none"/>
              </w:rPr>
            </w:pPr>
          </w:p>
        </w:tc>
        <w:tc>
          <w:tcPr>
            <w:tcW w:w="990" w:type="dxa"/>
            <w:tcBorders>
              <w:top w:val="single" w:color="000000" w:sz="4" w:space="0"/>
              <w:left w:val="single" w:color="000000" w:sz="4" w:space="0"/>
              <w:bottom w:val="single" w:color="000000" w:sz="4" w:space="0"/>
              <w:right w:val="single" w:color="000000" w:sz="4" w:space="0"/>
            </w:tcBorders>
          </w:tcPr>
          <w:p w14:paraId="53A0896C">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2E73A62">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2FA0891">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EC59593">
            <w:pPr>
              <w:autoSpaceDE w:val="0"/>
              <w:autoSpaceDN w:val="0"/>
              <w:adjustRightInd w:val="0"/>
              <w:snapToGrid w:val="0"/>
              <w:spacing w:line="360" w:lineRule="auto"/>
              <w:jc w:val="left"/>
              <w:rPr>
                <w:rFonts w:ascii="宋体" w:hAnsi="宋体"/>
                <w:color w:val="auto"/>
                <w:kern w:val="0"/>
                <w:sz w:val="24"/>
                <w:highlight w:val="none"/>
              </w:rPr>
            </w:pPr>
          </w:p>
        </w:tc>
        <w:tc>
          <w:tcPr>
            <w:tcW w:w="875" w:type="dxa"/>
            <w:tcBorders>
              <w:top w:val="single" w:color="000000" w:sz="4" w:space="0"/>
              <w:left w:val="single" w:color="000000" w:sz="4" w:space="0"/>
              <w:bottom w:val="single" w:color="000000" w:sz="4" w:space="0"/>
              <w:right w:val="single" w:color="000000" w:sz="4" w:space="0"/>
            </w:tcBorders>
          </w:tcPr>
          <w:p w14:paraId="2DFDFA44">
            <w:pPr>
              <w:autoSpaceDE w:val="0"/>
              <w:autoSpaceDN w:val="0"/>
              <w:adjustRightInd w:val="0"/>
              <w:snapToGrid w:val="0"/>
              <w:spacing w:line="360" w:lineRule="auto"/>
              <w:jc w:val="left"/>
              <w:rPr>
                <w:rFonts w:ascii="宋体" w:hAnsi="宋体"/>
                <w:color w:val="auto"/>
                <w:kern w:val="0"/>
                <w:sz w:val="24"/>
                <w:highlight w:val="none"/>
              </w:rPr>
            </w:pPr>
          </w:p>
        </w:tc>
        <w:tc>
          <w:tcPr>
            <w:tcW w:w="1054" w:type="dxa"/>
            <w:tcBorders>
              <w:top w:val="single" w:color="000000" w:sz="4" w:space="0"/>
              <w:left w:val="single" w:color="000000" w:sz="4" w:space="0"/>
              <w:bottom w:val="single" w:color="000000" w:sz="4" w:space="0"/>
              <w:right w:val="single" w:color="000000" w:sz="4" w:space="0"/>
            </w:tcBorders>
          </w:tcPr>
          <w:p w14:paraId="11FD3164">
            <w:pPr>
              <w:autoSpaceDE w:val="0"/>
              <w:autoSpaceDN w:val="0"/>
              <w:adjustRightInd w:val="0"/>
              <w:snapToGrid w:val="0"/>
              <w:spacing w:line="360" w:lineRule="auto"/>
              <w:jc w:val="left"/>
              <w:rPr>
                <w:rFonts w:ascii="宋体" w:hAnsi="宋体"/>
                <w:color w:val="auto"/>
                <w:kern w:val="0"/>
                <w:sz w:val="24"/>
                <w:highlight w:val="none"/>
              </w:rPr>
            </w:pPr>
          </w:p>
        </w:tc>
        <w:tc>
          <w:tcPr>
            <w:tcW w:w="692" w:type="dxa"/>
            <w:tcBorders>
              <w:top w:val="single" w:color="000000" w:sz="4" w:space="0"/>
              <w:left w:val="single" w:color="000000" w:sz="4" w:space="0"/>
              <w:bottom w:val="single" w:color="000000" w:sz="4" w:space="0"/>
              <w:right w:val="single" w:color="000000" w:sz="4" w:space="0"/>
            </w:tcBorders>
          </w:tcPr>
          <w:p w14:paraId="6DA0D38D">
            <w:pPr>
              <w:autoSpaceDE w:val="0"/>
              <w:autoSpaceDN w:val="0"/>
              <w:adjustRightInd w:val="0"/>
              <w:snapToGrid w:val="0"/>
              <w:spacing w:line="360" w:lineRule="auto"/>
              <w:jc w:val="left"/>
              <w:rPr>
                <w:rFonts w:ascii="宋体" w:hAnsi="宋体"/>
                <w:color w:val="auto"/>
                <w:kern w:val="0"/>
                <w:sz w:val="24"/>
                <w:highlight w:val="none"/>
              </w:rPr>
            </w:pPr>
          </w:p>
        </w:tc>
      </w:tr>
    </w:tbl>
    <w:p w14:paraId="3F7AA7D4">
      <w:pPr>
        <w:autoSpaceDE w:val="0"/>
        <w:autoSpaceDN w:val="0"/>
        <w:adjustRightInd w:val="0"/>
        <w:snapToGrid w:val="0"/>
        <w:spacing w:line="360" w:lineRule="auto"/>
        <w:jc w:val="left"/>
        <w:rPr>
          <w:rFonts w:ascii="宋体" w:hAnsi="宋体"/>
          <w:color w:val="auto"/>
          <w:kern w:val="0"/>
          <w:highlight w:val="none"/>
        </w:rPr>
      </w:pPr>
    </w:p>
    <w:p w14:paraId="45DA9A23">
      <w:pPr>
        <w:pStyle w:val="5"/>
        <w:jc w:val="center"/>
        <w:rPr>
          <w:rFonts w:ascii="宋体" w:hAnsi="宋体"/>
          <w:color w:val="auto"/>
          <w:sz w:val="28"/>
          <w:highlight w:val="none"/>
        </w:rPr>
      </w:pPr>
      <w:bookmarkStart w:id="2979" w:name="_Toc287620824"/>
      <w:bookmarkStart w:id="2980" w:name="_Toc3287"/>
      <w:bookmarkStart w:id="2981" w:name="_Toc277082651"/>
      <w:bookmarkStart w:id="2982" w:name="_Toc287607877"/>
      <w:bookmarkStart w:id="2983" w:name="_Toc16000476"/>
      <w:bookmarkStart w:id="2984" w:name="_Toc224103505"/>
      <w:bookmarkStart w:id="2985" w:name="_Toc12417"/>
      <w:bookmarkStart w:id="2986" w:name="_Toc31910"/>
      <w:r>
        <w:rPr>
          <w:rFonts w:hint="eastAsia" w:ascii="宋体" w:hAnsi="宋体"/>
          <w:color w:val="auto"/>
          <w:sz w:val="28"/>
          <w:highlight w:val="none"/>
        </w:rPr>
        <w:t>附表二：拟配备本标段的试验和检测仪器设备表</w:t>
      </w:r>
      <w:bookmarkEnd w:id="2979"/>
      <w:bookmarkEnd w:id="2980"/>
      <w:bookmarkEnd w:id="2981"/>
      <w:bookmarkEnd w:id="2982"/>
      <w:bookmarkEnd w:id="2983"/>
      <w:bookmarkEnd w:id="2984"/>
      <w:bookmarkEnd w:id="2985"/>
      <w:bookmarkEnd w:id="2986"/>
    </w:p>
    <w:p w14:paraId="363F372F">
      <w:pPr>
        <w:autoSpaceDE w:val="0"/>
        <w:autoSpaceDN w:val="0"/>
        <w:adjustRightInd w:val="0"/>
        <w:snapToGrid w:val="0"/>
        <w:spacing w:line="360" w:lineRule="auto"/>
        <w:jc w:val="left"/>
        <w:rPr>
          <w:rFonts w:ascii="宋体" w:hAnsi="宋体" w:cs="MingLiU"/>
          <w:color w:val="auto"/>
          <w:kern w:val="0"/>
          <w:sz w:val="20"/>
          <w:szCs w:val="20"/>
          <w:highlight w:val="none"/>
        </w:rPr>
      </w:pPr>
    </w:p>
    <w:tbl>
      <w:tblPr>
        <w:tblStyle w:val="46"/>
        <w:tblW w:w="8467" w:type="dxa"/>
        <w:tblInd w:w="119" w:type="dxa"/>
        <w:tblLayout w:type="fixed"/>
        <w:tblCellMar>
          <w:top w:w="0" w:type="dxa"/>
          <w:left w:w="0" w:type="dxa"/>
          <w:bottom w:w="0" w:type="dxa"/>
          <w:right w:w="0" w:type="dxa"/>
        </w:tblCellMar>
      </w:tblPr>
      <w:tblGrid>
        <w:gridCol w:w="666"/>
        <w:gridCol w:w="1087"/>
        <w:gridCol w:w="760"/>
        <w:gridCol w:w="991"/>
        <w:gridCol w:w="672"/>
        <w:gridCol w:w="738"/>
        <w:gridCol w:w="1212"/>
        <w:gridCol w:w="1654"/>
        <w:gridCol w:w="687"/>
      </w:tblGrid>
      <w:tr w14:paraId="7D3A0038">
        <w:tblPrEx>
          <w:tblCellMar>
            <w:top w:w="0" w:type="dxa"/>
            <w:left w:w="0" w:type="dxa"/>
            <w:bottom w:w="0" w:type="dxa"/>
            <w:right w:w="0" w:type="dxa"/>
          </w:tblCellMar>
        </w:tblPrEx>
        <w:trPr>
          <w:trHeight w:val="889" w:hRule="exact"/>
        </w:trPr>
        <w:tc>
          <w:tcPr>
            <w:tcW w:w="666" w:type="dxa"/>
            <w:tcBorders>
              <w:top w:val="single" w:color="000000" w:sz="4" w:space="0"/>
              <w:left w:val="single" w:color="000000" w:sz="4" w:space="0"/>
              <w:bottom w:val="single" w:color="000000" w:sz="4" w:space="0"/>
              <w:right w:val="single" w:color="000000" w:sz="4" w:space="0"/>
            </w:tcBorders>
            <w:vAlign w:val="center"/>
          </w:tcPr>
          <w:p w14:paraId="239A896E">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序号</w:t>
            </w:r>
          </w:p>
        </w:tc>
        <w:tc>
          <w:tcPr>
            <w:tcW w:w="1087" w:type="dxa"/>
            <w:tcBorders>
              <w:top w:val="single" w:color="000000" w:sz="4" w:space="0"/>
              <w:left w:val="single" w:color="000000" w:sz="4" w:space="0"/>
              <w:bottom w:val="single" w:color="000000" w:sz="4" w:space="0"/>
              <w:right w:val="single" w:color="000000" w:sz="4" w:space="0"/>
            </w:tcBorders>
            <w:vAlign w:val="center"/>
          </w:tcPr>
          <w:p w14:paraId="6AA12BEE">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仪器设备　名　　称</w:t>
            </w:r>
          </w:p>
        </w:tc>
        <w:tc>
          <w:tcPr>
            <w:tcW w:w="760" w:type="dxa"/>
            <w:tcBorders>
              <w:top w:val="single" w:color="000000" w:sz="4" w:space="0"/>
              <w:left w:val="single" w:color="000000" w:sz="4" w:space="0"/>
              <w:bottom w:val="single" w:color="000000" w:sz="4" w:space="0"/>
              <w:right w:val="single" w:color="000000" w:sz="4" w:space="0"/>
            </w:tcBorders>
            <w:vAlign w:val="center"/>
          </w:tcPr>
          <w:p w14:paraId="7E1D4A27">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型号</w:t>
            </w:r>
            <w:r>
              <w:rPr>
                <w:rFonts w:hint="eastAsia" w:ascii="宋体" w:hAnsi="宋体"/>
                <w:color w:val="auto"/>
                <w:kern w:val="0"/>
                <w:szCs w:val="21"/>
                <w:highlight w:val="none"/>
              </w:rPr>
              <w:t>　</w:t>
            </w:r>
            <w:r>
              <w:rPr>
                <w:rFonts w:hint="eastAsia" w:ascii="宋体" w:hAnsi="宋体" w:cs="MingLiU"/>
                <w:color w:val="auto"/>
                <w:kern w:val="0"/>
                <w:szCs w:val="21"/>
                <w:highlight w:val="none"/>
              </w:rPr>
              <w:t>规格</w:t>
            </w:r>
          </w:p>
        </w:tc>
        <w:tc>
          <w:tcPr>
            <w:tcW w:w="991" w:type="dxa"/>
            <w:tcBorders>
              <w:top w:val="single" w:color="000000" w:sz="4" w:space="0"/>
              <w:left w:val="single" w:color="000000" w:sz="4" w:space="0"/>
              <w:bottom w:val="single" w:color="000000" w:sz="4" w:space="0"/>
              <w:right w:val="single" w:color="000000" w:sz="4" w:space="0"/>
            </w:tcBorders>
            <w:vAlign w:val="center"/>
          </w:tcPr>
          <w:p w14:paraId="5323304F">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数量</w:t>
            </w:r>
          </w:p>
        </w:tc>
        <w:tc>
          <w:tcPr>
            <w:tcW w:w="672" w:type="dxa"/>
            <w:tcBorders>
              <w:top w:val="single" w:color="000000" w:sz="4" w:space="0"/>
              <w:left w:val="single" w:color="000000" w:sz="4" w:space="0"/>
              <w:bottom w:val="single" w:color="000000" w:sz="4" w:space="0"/>
              <w:right w:val="single" w:color="000000" w:sz="4" w:space="0"/>
            </w:tcBorders>
            <w:vAlign w:val="center"/>
          </w:tcPr>
          <w:p w14:paraId="1E61EB66">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国别产地</w:t>
            </w:r>
          </w:p>
        </w:tc>
        <w:tc>
          <w:tcPr>
            <w:tcW w:w="738" w:type="dxa"/>
            <w:tcBorders>
              <w:top w:val="single" w:color="000000" w:sz="4" w:space="0"/>
              <w:left w:val="single" w:color="000000" w:sz="4" w:space="0"/>
              <w:bottom w:val="single" w:color="000000" w:sz="4" w:space="0"/>
              <w:right w:val="single" w:color="000000" w:sz="4" w:space="0"/>
            </w:tcBorders>
            <w:vAlign w:val="center"/>
          </w:tcPr>
          <w:p w14:paraId="7CE6337A">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制造年份</w:t>
            </w:r>
          </w:p>
        </w:tc>
        <w:tc>
          <w:tcPr>
            <w:tcW w:w="1212" w:type="dxa"/>
            <w:tcBorders>
              <w:top w:val="single" w:color="000000" w:sz="4" w:space="0"/>
              <w:left w:val="single" w:color="000000" w:sz="4" w:space="0"/>
              <w:bottom w:val="single" w:color="000000" w:sz="4" w:space="0"/>
              <w:right w:val="single" w:color="000000" w:sz="4" w:space="0"/>
            </w:tcBorders>
            <w:vAlign w:val="center"/>
          </w:tcPr>
          <w:p w14:paraId="3BA9459A">
            <w:pPr>
              <w:autoSpaceDE w:val="0"/>
              <w:autoSpaceDN w:val="0"/>
              <w:adjustRightInd w:val="0"/>
              <w:snapToGrid w:val="0"/>
              <w:spacing w:line="360" w:lineRule="auto"/>
              <w:jc w:val="center"/>
              <w:rPr>
                <w:rFonts w:ascii="宋体" w:hAnsi="宋体" w:cs="MingLiU"/>
                <w:color w:val="auto"/>
                <w:kern w:val="0"/>
                <w:szCs w:val="21"/>
                <w:highlight w:val="none"/>
              </w:rPr>
            </w:pPr>
            <w:r>
              <w:rPr>
                <w:rFonts w:hint="eastAsia" w:ascii="宋体" w:hAnsi="宋体" w:cs="MingLiU"/>
                <w:color w:val="auto"/>
                <w:kern w:val="0"/>
                <w:szCs w:val="21"/>
                <w:highlight w:val="none"/>
              </w:rPr>
              <w:t>已使用</w:t>
            </w:r>
          </w:p>
          <w:p w14:paraId="60498FBC">
            <w:pPr>
              <w:autoSpaceDE w:val="0"/>
              <w:autoSpaceDN w:val="0"/>
              <w:adjustRightInd w:val="0"/>
              <w:snapToGrid w:val="0"/>
              <w:spacing w:line="360" w:lineRule="auto"/>
              <w:jc w:val="center"/>
              <w:rPr>
                <w:rFonts w:ascii="宋体" w:hAnsi="宋体" w:cs="MingLiU"/>
                <w:color w:val="auto"/>
                <w:kern w:val="0"/>
                <w:szCs w:val="21"/>
                <w:highlight w:val="none"/>
              </w:rPr>
            </w:pPr>
            <w:r>
              <w:rPr>
                <w:rFonts w:hint="eastAsia" w:ascii="宋体" w:hAnsi="宋体" w:cs="MingLiU"/>
                <w:color w:val="auto"/>
                <w:kern w:val="0"/>
                <w:szCs w:val="21"/>
                <w:highlight w:val="none"/>
              </w:rPr>
              <w:t>台时数</w:t>
            </w:r>
          </w:p>
        </w:tc>
        <w:tc>
          <w:tcPr>
            <w:tcW w:w="1654" w:type="dxa"/>
            <w:tcBorders>
              <w:top w:val="single" w:color="000000" w:sz="4" w:space="0"/>
              <w:left w:val="single" w:color="000000" w:sz="4" w:space="0"/>
              <w:bottom w:val="single" w:color="000000" w:sz="4" w:space="0"/>
              <w:right w:val="single" w:color="000000" w:sz="4" w:space="0"/>
            </w:tcBorders>
            <w:vAlign w:val="center"/>
          </w:tcPr>
          <w:p w14:paraId="7305298F">
            <w:pPr>
              <w:autoSpaceDE w:val="0"/>
              <w:autoSpaceDN w:val="0"/>
              <w:adjustRightInd w:val="0"/>
              <w:snapToGrid w:val="0"/>
              <w:spacing w:line="360" w:lineRule="auto"/>
              <w:jc w:val="center"/>
              <w:rPr>
                <w:rFonts w:ascii="宋体" w:hAnsi="宋体" w:cs="MingLiU"/>
                <w:color w:val="auto"/>
                <w:kern w:val="0"/>
                <w:szCs w:val="21"/>
                <w:highlight w:val="none"/>
              </w:rPr>
            </w:pPr>
            <w:r>
              <w:rPr>
                <w:rFonts w:hint="eastAsia" w:ascii="宋体" w:hAnsi="宋体" w:cs="MingLiU"/>
                <w:color w:val="auto"/>
                <w:kern w:val="0"/>
                <w:szCs w:val="21"/>
                <w:highlight w:val="none"/>
              </w:rPr>
              <w:t>用途</w:t>
            </w:r>
          </w:p>
        </w:tc>
        <w:tc>
          <w:tcPr>
            <w:tcW w:w="687" w:type="dxa"/>
            <w:tcBorders>
              <w:top w:val="single" w:color="000000" w:sz="4" w:space="0"/>
              <w:left w:val="single" w:color="000000" w:sz="4" w:space="0"/>
              <w:bottom w:val="single" w:color="000000" w:sz="4" w:space="0"/>
              <w:right w:val="single" w:color="000000" w:sz="4" w:space="0"/>
            </w:tcBorders>
            <w:vAlign w:val="center"/>
          </w:tcPr>
          <w:p w14:paraId="5B6C4806">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备注</w:t>
            </w:r>
          </w:p>
        </w:tc>
      </w:tr>
      <w:tr w14:paraId="61667955">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4E3A7CFC">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7F79EA11">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0EDDB983">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47051F8A">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D9DEA0B">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6166D1CF">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73FABF12">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1DEF7F9C">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49968240">
            <w:pPr>
              <w:autoSpaceDE w:val="0"/>
              <w:autoSpaceDN w:val="0"/>
              <w:adjustRightInd w:val="0"/>
              <w:snapToGrid w:val="0"/>
              <w:spacing w:line="360" w:lineRule="auto"/>
              <w:jc w:val="left"/>
              <w:rPr>
                <w:rFonts w:ascii="宋体" w:hAnsi="宋体"/>
                <w:color w:val="auto"/>
                <w:kern w:val="0"/>
                <w:sz w:val="24"/>
                <w:highlight w:val="none"/>
              </w:rPr>
            </w:pPr>
          </w:p>
        </w:tc>
      </w:tr>
      <w:tr w14:paraId="4275393F">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26045AEF">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24E43C32">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65A1CC92">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1045559C">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48093D1">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4DBFC508">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2F1CAF98">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028E6E93">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47A3C8EC">
            <w:pPr>
              <w:autoSpaceDE w:val="0"/>
              <w:autoSpaceDN w:val="0"/>
              <w:adjustRightInd w:val="0"/>
              <w:snapToGrid w:val="0"/>
              <w:spacing w:line="360" w:lineRule="auto"/>
              <w:jc w:val="left"/>
              <w:rPr>
                <w:rFonts w:ascii="宋体" w:hAnsi="宋体"/>
                <w:color w:val="auto"/>
                <w:kern w:val="0"/>
                <w:sz w:val="24"/>
                <w:highlight w:val="none"/>
              </w:rPr>
            </w:pPr>
          </w:p>
        </w:tc>
      </w:tr>
      <w:tr w14:paraId="7A2C784E">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650AD1F1">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16010F05">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6071F012">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3F4E32B9">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0A0F8B9">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36FB817F">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556EB9DB">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286FEA1D">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4BD72185">
            <w:pPr>
              <w:autoSpaceDE w:val="0"/>
              <w:autoSpaceDN w:val="0"/>
              <w:adjustRightInd w:val="0"/>
              <w:snapToGrid w:val="0"/>
              <w:spacing w:line="360" w:lineRule="auto"/>
              <w:jc w:val="left"/>
              <w:rPr>
                <w:rFonts w:ascii="宋体" w:hAnsi="宋体"/>
                <w:color w:val="auto"/>
                <w:kern w:val="0"/>
                <w:sz w:val="24"/>
                <w:highlight w:val="none"/>
              </w:rPr>
            </w:pPr>
          </w:p>
        </w:tc>
      </w:tr>
      <w:tr w14:paraId="14FE030D">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287E11BD">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183AB754">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78DA3ADA">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0C6F5C40">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666134F">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29B6EA80">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33B471A3">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494B88E4">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6ADB488E">
            <w:pPr>
              <w:autoSpaceDE w:val="0"/>
              <w:autoSpaceDN w:val="0"/>
              <w:adjustRightInd w:val="0"/>
              <w:snapToGrid w:val="0"/>
              <w:spacing w:line="360" w:lineRule="auto"/>
              <w:jc w:val="left"/>
              <w:rPr>
                <w:rFonts w:ascii="宋体" w:hAnsi="宋体"/>
                <w:color w:val="auto"/>
                <w:kern w:val="0"/>
                <w:sz w:val="24"/>
                <w:highlight w:val="none"/>
              </w:rPr>
            </w:pPr>
          </w:p>
        </w:tc>
      </w:tr>
      <w:tr w14:paraId="3FC33B74">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04995831">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6CD61500">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C23680C">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73C5BE02">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B15989A">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DBE6C18">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3829D579">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74C94A1F">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3B5E3DD9">
            <w:pPr>
              <w:autoSpaceDE w:val="0"/>
              <w:autoSpaceDN w:val="0"/>
              <w:adjustRightInd w:val="0"/>
              <w:snapToGrid w:val="0"/>
              <w:spacing w:line="360" w:lineRule="auto"/>
              <w:jc w:val="left"/>
              <w:rPr>
                <w:rFonts w:ascii="宋体" w:hAnsi="宋体"/>
                <w:color w:val="auto"/>
                <w:kern w:val="0"/>
                <w:sz w:val="24"/>
                <w:highlight w:val="none"/>
              </w:rPr>
            </w:pPr>
          </w:p>
        </w:tc>
      </w:tr>
      <w:tr w14:paraId="38AF2BB0">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30EB6F4D">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245723DF">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0BB2BC62">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22A94C27">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4AB3BAE">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5C4DE1CF">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2ABCD44D">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7EC7B87F">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2EBEFF3A">
            <w:pPr>
              <w:autoSpaceDE w:val="0"/>
              <w:autoSpaceDN w:val="0"/>
              <w:adjustRightInd w:val="0"/>
              <w:snapToGrid w:val="0"/>
              <w:spacing w:line="360" w:lineRule="auto"/>
              <w:jc w:val="left"/>
              <w:rPr>
                <w:rFonts w:ascii="宋体" w:hAnsi="宋体"/>
                <w:color w:val="auto"/>
                <w:kern w:val="0"/>
                <w:sz w:val="24"/>
                <w:highlight w:val="none"/>
              </w:rPr>
            </w:pPr>
          </w:p>
        </w:tc>
      </w:tr>
      <w:tr w14:paraId="7DD8BB52">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1CD40D54">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5ED2C472">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18997ADF">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34463AB1">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00A7F7F8">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F25970B">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134C85CA">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7FA35A45">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01B56367">
            <w:pPr>
              <w:autoSpaceDE w:val="0"/>
              <w:autoSpaceDN w:val="0"/>
              <w:adjustRightInd w:val="0"/>
              <w:snapToGrid w:val="0"/>
              <w:spacing w:line="360" w:lineRule="auto"/>
              <w:jc w:val="left"/>
              <w:rPr>
                <w:rFonts w:ascii="宋体" w:hAnsi="宋体"/>
                <w:color w:val="auto"/>
                <w:kern w:val="0"/>
                <w:sz w:val="24"/>
                <w:highlight w:val="none"/>
              </w:rPr>
            </w:pPr>
          </w:p>
        </w:tc>
      </w:tr>
      <w:tr w14:paraId="32A8F21E">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64C58EE0">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525C6922">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CE3C079">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195167B2">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FD6E7A7">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49C47DC5">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18BBE450">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259394DB">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2192CDF8">
            <w:pPr>
              <w:autoSpaceDE w:val="0"/>
              <w:autoSpaceDN w:val="0"/>
              <w:adjustRightInd w:val="0"/>
              <w:snapToGrid w:val="0"/>
              <w:spacing w:line="360" w:lineRule="auto"/>
              <w:jc w:val="left"/>
              <w:rPr>
                <w:rFonts w:ascii="宋体" w:hAnsi="宋体"/>
                <w:color w:val="auto"/>
                <w:kern w:val="0"/>
                <w:sz w:val="24"/>
                <w:highlight w:val="none"/>
              </w:rPr>
            </w:pPr>
          </w:p>
        </w:tc>
      </w:tr>
      <w:tr w14:paraId="55B9A699">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08C51B7D">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1FC2901D">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0BE61FD">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182A1DA1">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3DCC671">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62A49BD0">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6809A69">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74E7A52B">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24B23242">
            <w:pPr>
              <w:autoSpaceDE w:val="0"/>
              <w:autoSpaceDN w:val="0"/>
              <w:adjustRightInd w:val="0"/>
              <w:snapToGrid w:val="0"/>
              <w:spacing w:line="360" w:lineRule="auto"/>
              <w:jc w:val="left"/>
              <w:rPr>
                <w:rFonts w:ascii="宋体" w:hAnsi="宋体"/>
                <w:color w:val="auto"/>
                <w:kern w:val="0"/>
                <w:sz w:val="24"/>
                <w:highlight w:val="none"/>
              </w:rPr>
            </w:pPr>
          </w:p>
        </w:tc>
      </w:tr>
      <w:tr w14:paraId="748C1469">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59C3BD7E">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5F0D266F">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7F72CF88">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572E6759">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6F4C741">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4D1102A9">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CC33CDF">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3BDA3474">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27E7170A">
            <w:pPr>
              <w:autoSpaceDE w:val="0"/>
              <w:autoSpaceDN w:val="0"/>
              <w:adjustRightInd w:val="0"/>
              <w:snapToGrid w:val="0"/>
              <w:spacing w:line="360" w:lineRule="auto"/>
              <w:jc w:val="left"/>
              <w:rPr>
                <w:rFonts w:ascii="宋体" w:hAnsi="宋体"/>
                <w:color w:val="auto"/>
                <w:kern w:val="0"/>
                <w:sz w:val="24"/>
                <w:highlight w:val="none"/>
              </w:rPr>
            </w:pPr>
          </w:p>
        </w:tc>
      </w:tr>
      <w:tr w14:paraId="3BD053D3">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46B4E56F">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32A6A28B">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40CDD4BC">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67DB1039">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96E5692">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1903EAE9">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67C6FD92">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39AE484D">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1CEDA8FF">
            <w:pPr>
              <w:autoSpaceDE w:val="0"/>
              <w:autoSpaceDN w:val="0"/>
              <w:adjustRightInd w:val="0"/>
              <w:snapToGrid w:val="0"/>
              <w:spacing w:line="360" w:lineRule="auto"/>
              <w:jc w:val="left"/>
              <w:rPr>
                <w:rFonts w:ascii="宋体" w:hAnsi="宋体"/>
                <w:color w:val="auto"/>
                <w:kern w:val="0"/>
                <w:sz w:val="24"/>
                <w:highlight w:val="none"/>
              </w:rPr>
            </w:pPr>
          </w:p>
        </w:tc>
      </w:tr>
      <w:tr w14:paraId="3DA8D7FA">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74DCB940">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7968F1E3">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EE06D2A">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3D720340">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F941AC5">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D9C8918">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BF2629F">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4A92BE91">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45804AF2">
            <w:pPr>
              <w:autoSpaceDE w:val="0"/>
              <w:autoSpaceDN w:val="0"/>
              <w:adjustRightInd w:val="0"/>
              <w:snapToGrid w:val="0"/>
              <w:spacing w:line="360" w:lineRule="auto"/>
              <w:jc w:val="left"/>
              <w:rPr>
                <w:rFonts w:ascii="宋体" w:hAnsi="宋体"/>
                <w:color w:val="auto"/>
                <w:kern w:val="0"/>
                <w:sz w:val="24"/>
                <w:highlight w:val="none"/>
              </w:rPr>
            </w:pPr>
          </w:p>
        </w:tc>
      </w:tr>
      <w:tr w14:paraId="6ABBDF41">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42A9793C">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0AADF277">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7087E80D">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2767BDD5">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14AC02D">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3DA3C89F">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7E08355">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57393918">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361AEE0B">
            <w:pPr>
              <w:autoSpaceDE w:val="0"/>
              <w:autoSpaceDN w:val="0"/>
              <w:adjustRightInd w:val="0"/>
              <w:snapToGrid w:val="0"/>
              <w:spacing w:line="360" w:lineRule="auto"/>
              <w:jc w:val="left"/>
              <w:rPr>
                <w:rFonts w:ascii="宋体" w:hAnsi="宋体"/>
                <w:color w:val="auto"/>
                <w:kern w:val="0"/>
                <w:sz w:val="24"/>
                <w:highlight w:val="none"/>
              </w:rPr>
            </w:pPr>
          </w:p>
        </w:tc>
      </w:tr>
      <w:tr w14:paraId="755B2EFB">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7C55999D">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0E387BA7">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3E7D8E0F">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31D29C72">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33FEABF">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22217F8">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35A42EC7">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277520F2">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0D7407C5">
            <w:pPr>
              <w:autoSpaceDE w:val="0"/>
              <w:autoSpaceDN w:val="0"/>
              <w:adjustRightInd w:val="0"/>
              <w:snapToGrid w:val="0"/>
              <w:spacing w:line="360" w:lineRule="auto"/>
              <w:jc w:val="left"/>
              <w:rPr>
                <w:rFonts w:ascii="宋体" w:hAnsi="宋体"/>
                <w:color w:val="auto"/>
                <w:kern w:val="0"/>
                <w:sz w:val="24"/>
                <w:highlight w:val="none"/>
              </w:rPr>
            </w:pPr>
          </w:p>
        </w:tc>
      </w:tr>
      <w:tr w14:paraId="09FFBF0A">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2B542D22">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7943B46D">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6C5FA3B2">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0FE53256">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419E014">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5520EA4">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0E83DECA">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23C49C71">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47AABDAD">
            <w:pPr>
              <w:autoSpaceDE w:val="0"/>
              <w:autoSpaceDN w:val="0"/>
              <w:adjustRightInd w:val="0"/>
              <w:snapToGrid w:val="0"/>
              <w:spacing w:line="360" w:lineRule="auto"/>
              <w:jc w:val="left"/>
              <w:rPr>
                <w:rFonts w:ascii="宋体" w:hAnsi="宋体"/>
                <w:color w:val="auto"/>
                <w:kern w:val="0"/>
                <w:sz w:val="24"/>
                <w:highlight w:val="none"/>
              </w:rPr>
            </w:pPr>
          </w:p>
        </w:tc>
      </w:tr>
      <w:tr w14:paraId="63605D24">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426175FF">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06263463">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177B9DD4">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36935FE1">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33F4B95B">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ABE30B7">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8587626">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47CE09CD">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7D64D533">
            <w:pPr>
              <w:autoSpaceDE w:val="0"/>
              <w:autoSpaceDN w:val="0"/>
              <w:adjustRightInd w:val="0"/>
              <w:snapToGrid w:val="0"/>
              <w:spacing w:line="360" w:lineRule="auto"/>
              <w:jc w:val="left"/>
              <w:rPr>
                <w:rFonts w:ascii="宋体" w:hAnsi="宋体"/>
                <w:color w:val="auto"/>
                <w:kern w:val="0"/>
                <w:sz w:val="24"/>
                <w:highlight w:val="none"/>
              </w:rPr>
            </w:pPr>
          </w:p>
        </w:tc>
      </w:tr>
      <w:tr w14:paraId="52874F42">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0F90A026">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027146F4">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31D5820C">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67C1F261">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1DA2BDF">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752C00D0">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50D81BCA">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2474E3A4">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25F3757A">
            <w:pPr>
              <w:autoSpaceDE w:val="0"/>
              <w:autoSpaceDN w:val="0"/>
              <w:adjustRightInd w:val="0"/>
              <w:snapToGrid w:val="0"/>
              <w:spacing w:line="360" w:lineRule="auto"/>
              <w:jc w:val="left"/>
              <w:rPr>
                <w:rFonts w:ascii="宋体" w:hAnsi="宋体"/>
                <w:color w:val="auto"/>
                <w:kern w:val="0"/>
                <w:sz w:val="24"/>
                <w:highlight w:val="none"/>
              </w:rPr>
            </w:pPr>
          </w:p>
        </w:tc>
      </w:tr>
      <w:tr w14:paraId="1082427C">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6859FE25">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4FF5239B">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4052E38B">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6C7DA023">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008E3102">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12A9B573">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52708E8">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6C43A5A8">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50344610">
            <w:pPr>
              <w:autoSpaceDE w:val="0"/>
              <w:autoSpaceDN w:val="0"/>
              <w:adjustRightInd w:val="0"/>
              <w:snapToGrid w:val="0"/>
              <w:spacing w:line="360" w:lineRule="auto"/>
              <w:jc w:val="left"/>
              <w:rPr>
                <w:rFonts w:ascii="宋体" w:hAnsi="宋体"/>
                <w:color w:val="auto"/>
                <w:kern w:val="0"/>
                <w:sz w:val="24"/>
                <w:highlight w:val="none"/>
              </w:rPr>
            </w:pPr>
          </w:p>
        </w:tc>
      </w:tr>
      <w:tr w14:paraId="3ABCEBCA">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0C3E8F8F">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2D05ECA5">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1F131A7D">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798CE328">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D7556A6">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32A805C2">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76DDB58">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2870D510">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1FF3C8A0">
            <w:pPr>
              <w:autoSpaceDE w:val="0"/>
              <w:autoSpaceDN w:val="0"/>
              <w:adjustRightInd w:val="0"/>
              <w:snapToGrid w:val="0"/>
              <w:spacing w:line="360" w:lineRule="auto"/>
              <w:jc w:val="left"/>
              <w:rPr>
                <w:rFonts w:ascii="宋体" w:hAnsi="宋体"/>
                <w:color w:val="auto"/>
                <w:kern w:val="0"/>
                <w:sz w:val="24"/>
                <w:highlight w:val="none"/>
              </w:rPr>
            </w:pPr>
          </w:p>
        </w:tc>
      </w:tr>
      <w:tr w14:paraId="6E5DB615">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42D2BBF9">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4D4E949A">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5D60502B">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16F5F22D">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BEB19CA">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6961D9BB">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7FD81BB">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228FF96E">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6542784D">
            <w:pPr>
              <w:autoSpaceDE w:val="0"/>
              <w:autoSpaceDN w:val="0"/>
              <w:adjustRightInd w:val="0"/>
              <w:snapToGrid w:val="0"/>
              <w:spacing w:line="360" w:lineRule="auto"/>
              <w:jc w:val="left"/>
              <w:rPr>
                <w:rFonts w:ascii="宋体" w:hAnsi="宋体"/>
                <w:color w:val="auto"/>
                <w:kern w:val="0"/>
                <w:sz w:val="24"/>
                <w:highlight w:val="none"/>
              </w:rPr>
            </w:pPr>
          </w:p>
        </w:tc>
      </w:tr>
      <w:tr w14:paraId="0F0576E2">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576123A1">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3F32F2E6">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46DD969C">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3F1CB0F3">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0581EBF">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380E196D">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654C08F2">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6FD2EEFC">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26A61FE9">
            <w:pPr>
              <w:autoSpaceDE w:val="0"/>
              <w:autoSpaceDN w:val="0"/>
              <w:adjustRightInd w:val="0"/>
              <w:snapToGrid w:val="0"/>
              <w:spacing w:line="360" w:lineRule="auto"/>
              <w:jc w:val="left"/>
              <w:rPr>
                <w:rFonts w:ascii="宋体" w:hAnsi="宋体"/>
                <w:color w:val="auto"/>
                <w:kern w:val="0"/>
                <w:sz w:val="24"/>
                <w:highlight w:val="none"/>
              </w:rPr>
            </w:pPr>
          </w:p>
        </w:tc>
      </w:tr>
      <w:tr w14:paraId="1EDEC0F7">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1810B4B0">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7745E950">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651D2308">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0A18C09D">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7BDF10F">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655384B">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6AD0037F">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60422155">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35CE3A1A">
            <w:pPr>
              <w:autoSpaceDE w:val="0"/>
              <w:autoSpaceDN w:val="0"/>
              <w:adjustRightInd w:val="0"/>
              <w:snapToGrid w:val="0"/>
              <w:spacing w:line="360" w:lineRule="auto"/>
              <w:jc w:val="left"/>
              <w:rPr>
                <w:rFonts w:ascii="宋体" w:hAnsi="宋体"/>
                <w:color w:val="auto"/>
                <w:kern w:val="0"/>
                <w:sz w:val="24"/>
                <w:highlight w:val="none"/>
              </w:rPr>
            </w:pPr>
          </w:p>
        </w:tc>
      </w:tr>
      <w:tr w14:paraId="6E1D414E">
        <w:tblPrEx>
          <w:tblCellMar>
            <w:top w:w="0" w:type="dxa"/>
            <w:left w:w="0" w:type="dxa"/>
            <w:bottom w:w="0" w:type="dxa"/>
            <w:right w:w="0" w:type="dxa"/>
          </w:tblCellMar>
        </w:tblPrEx>
        <w:trPr>
          <w:trHeight w:val="450" w:hRule="exact"/>
        </w:trPr>
        <w:tc>
          <w:tcPr>
            <w:tcW w:w="666" w:type="dxa"/>
            <w:tcBorders>
              <w:top w:val="single" w:color="000000" w:sz="4" w:space="0"/>
              <w:left w:val="single" w:color="000000" w:sz="4" w:space="0"/>
              <w:bottom w:val="single" w:color="000000" w:sz="4" w:space="0"/>
              <w:right w:val="single" w:color="000000" w:sz="4" w:space="0"/>
            </w:tcBorders>
          </w:tcPr>
          <w:p w14:paraId="2E031C1B">
            <w:pPr>
              <w:autoSpaceDE w:val="0"/>
              <w:autoSpaceDN w:val="0"/>
              <w:adjustRightInd w:val="0"/>
              <w:snapToGrid w:val="0"/>
              <w:spacing w:line="360" w:lineRule="auto"/>
              <w:jc w:val="left"/>
              <w:rPr>
                <w:rFonts w:ascii="宋体" w:hAnsi="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14:paraId="21F24C89">
            <w:pPr>
              <w:autoSpaceDE w:val="0"/>
              <w:autoSpaceDN w:val="0"/>
              <w:adjustRightInd w:val="0"/>
              <w:snapToGrid w:val="0"/>
              <w:spacing w:line="360" w:lineRule="auto"/>
              <w:jc w:val="left"/>
              <w:rPr>
                <w:rFonts w:ascii="宋体" w:hAnsi="宋体"/>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1E86EB1F">
            <w:pPr>
              <w:autoSpaceDE w:val="0"/>
              <w:autoSpaceDN w:val="0"/>
              <w:adjustRightInd w:val="0"/>
              <w:snapToGrid w:val="0"/>
              <w:spacing w:line="360" w:lineRule="auto"/>
              <w:jc w:val="left"/>
              <w:rPr>
                <w:rFonts w:ascii="宋体" w:hAnsi="宋体"/>
                <w:color w:val="auto"/>
                <w:kern w:val="0"/>
                <w:sz w:val="24"/>
                <w:highlight w:val="none"/>
              </w:rPr>
            </w:pPr>
          </w:p>
        </w:tc>
        <w:tc>
          <w:tcPr>
            <w:tcW w:w="991" w:type="dxa"/>
            <w:tcBorders>
              <w:top w:val="single" w:color="000000" w:sz="4" w:space="0"/>
              <w:left w:val="single" w:color="000000" w:sz="4" w:space="0"/>
              <w:bottom w:val="single" w:color="000000" w:sz="4" w:space="0"/>
              <w:right w:val="single" w:color="000000" w:sz="4" w:space="0"/>
            </w:tcBorders>
          </w:tcPr>
          <w:p w14:paraId="0717ED3A">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830F79C">
            <w:pPr>
              <w:autoSpaceDE w:val="0"/>
              <w:autoSpaceDN w:val="0"/>
              <w:adjustRightInd w:val="0"/>
              <w:snapToGrid w:val="0"/>
              <w:spacing w:line="360" w:lineRule="auto"/>
              <w:jc w:val="left"/>
              <w:rPr>
                <w:rFonts w:ascii="宋体" w:hAnsi="宋体"/>
                <w:color w:val="auto"/>
                <w:kern w:val="0"/>
                <w:sz w:val="24"/>
                <w:highlight w:val="none"/>
              </w:rPr>
            </w:pPr>
          </w:p>
        </w:tc>
        <w:tc>
          <w:tcPr>
            <w:tcW w:w="738" w:type="dxa"/>
            <w:tcBorders>
              <w:top w:val="single" w:color="000000" w:sz="4" w:space="0"/>
              <w:left w:val="single" w:color="000000" w:sz="4" w:space="0"/>
              <w:bottom w:val="single" w:color="000000" w:sz="4" w:space="0"/>
              <w:right w:val="single" w:color="000000" w:sz="4" w:space="0"/>
            </w:tcBorders>
          </w:tcPr>
          <w:p w14:paraId="0A345347">
            <w:pPr>
              <w:autoSpaceDE w:val="0"/>
              <w:autoSpaceDN w:val="0"/>
              <w:adjustRightInd w:val="0"/>
              <w:snapToGrid w:val="0"/>
              <w:spacing w:line="360" w:lineRule="auto"/>
              <w:jc w:val="left"/>
              <w:rPr>
                <w:rFonts w:ascii="宋体" w:hAnsi="宋体"/>
                <w:color w:val="auto"/>
                <w:kern w:val="0"/>
                <w:sz w:val="24"/>
                <w:highlight w:val="none"/>
              </w:rPr>
            </w:pPr>
          </w:p>
        </w:tc>
        <w:tc>
          <w:tcPr>
            <w:tcW w:w="1212" w:type="dxa"/>
            <w:tcBorders>
              <w:top w:val="single" w:color="000000" w:sz="4" w:space="0"/>
              <w:left w:val="single" w:color="000000" w:sz="4" w:space="0"/>
              <w:bottom w:val="single" w:color="000000" w:sz="4" w:space="0"/>
              <w:right w:val="single" w:color="000000" w:sz="4" w:space="0"/>
            </w:tcBorders>
          </w:tcPr>
          <w:p w14:paraId="4248B09C">
            <w:pPr>
              <w:autoSpaceDE w:val="0"/>
              <w:autoSpaceDN w:val="0"/>
              <w:adjustRightInd w:val="0"/>
              <w:snapToGrid w:val="0"/>
              <w:spacing w:line="360" w:lineRule="auto"/>
              <w:jc w:val="left"/>
              <w:rPr>
                <w:rFonts w:ascii="宋体" w:hAnsi="宋体"/>
                <w:color w:val="auto"/>
                <w:kern w:val="0"/>
                <w:sz w:val="24"/>
                <w:highlight w:val="none"/>
              </w:rPr>
            </w:pPr>
          </w:p>
        </w:tc>
        <w:tc>
          <w:tcPr>
            <w:tcW w:w="1654" w:type="dxa"/>
            <w:tcBorders>
              <w:top w:val="single" w:color="000000" w:sz="4" w:space="0"/>
              <w:left w:val="single" w:color="000000" w:sz="4" w:space="0"/>
              <w:bottom w:val="single" w:color="000000" w:sz="4" w:space="0"/>
              <w:right w:val="single" w:color="000000" w:sz="4" w:space="0"/>
            </w:tcBorders>
          </w:tcPr>
          <w:p w14:paraId="78C8979A">
            <w:pPr>
              <w:autoSpaceDE w:val="0"/>
              <w:autoSpaceDN w:val="0"/>
              <w:adjustRightInd w:val="0"/>
              <w:snapToGrid w:val="0"/>
              <w:spacing w:line="360" w:lineRule="auto"/>
              <w:jc w:val="left"/>
              <w:rPr>
                <w:rFonts w:ascii="宋体" w:hAnsi="宋体"/>
                <w:color w:val="auto"/>
                <w:kern w:val="0"/>
                <w:sz w:val="24"/>
                <w:highlight w:val="none"/>
              </w:rPr>
            </w:pPr>
          </w:p>
        </w:tc>
        <w:tc>
          <w:tcPr>
            <w:tcW w:w="687" w:type="dxa"/>
            <w:tcBorders>
              <w:top w:val="single" w:color="000000" w:sz="4" w:space="0"/>
              <w:left w:val="single" w:color="000000" w:sz="4" w:space="0"/>
              <w:bottom w:val="single" w:color="000000" w:sz="4" w:space="0"/>
              <w:right w:val="single" w:color="000000" w:sz="4" w:space="0"/>
            </w:tcBorders>
          </w:tcPr>
          <w:p w14:paraId="3DB51FC1">
            <w:pPr>
              <w:autoSpaceDE w:val="0"/>
              <w:autoSpaceDN w:val="0"/>
              <w:adjustRightInd w:val="0"/>
              <w:snapToGrid w:val="0"/>
              <w:spacing w:line="360" w:lineRule="auto"/>
              <w:jc w:val="left"/>
              <w:rPr>
                <w:rFonts w:ascii="宋体" w:hAnsi="宋体"/>
                <w:color w:val="auto"/>
                <w:kern w:val="0"/>
                <w:sz w:val="24"/>
                <w:highlight w:val="none"/>
              </w:rPr>
            </w:pPr>
          </w:p>
        </w:tc>
      </w:tr>
    </w:tbl>
    <w:p w14:paraId="49F10C5D">
      <w:pPr>
        <w:rPr>
          <w:color w:val="auto"/>
          <w:highlight w:val="none"/>
        </w:rPr>
      </w:pPr>
    </w:p>
    <w:p w14:paraId="2BD14112">
      <w:pPr>
        <w:pStyle w:val="5"/>
        <w:jc w:val="center"/>
        <w:rPr>
          <w:rFonts w:ascii="宋体" w:hAnsi="宋体"/>
          <w:color w:val="auto"/>
          <w:sz w:val="28"/>
          <w:highlight w:val="none"/>
        </w:rPr>
      </w:pPr>
      <w:bookmarkStart w:id="2987" w:name="_Toc277082652"/>
      <w:bookmarkStart w:id="2988" w:name="_Toc16000477"/>
      <w:bookmarkStart w:id="2989" w:name="_Toc14819"/>
      <w:bookmarkStart w:id="2990" w:name="_Toc224103506"/>
      <w:bookmarkStart w:id="2991" w:name="_Toc287620825"/>
      <w:bookmarkStart w:id="2992" w:name="_Toc287607878"/>
      <w:bookmarkStart w:id="2993" w:name="_Toc11943"/>
      <w:bookmarkStart w:id="2994" w:name="_Toc27255"/>
      <w:r>
        <w:rPr>
          <w:rFonts w:hint="eastAsia" w:ascii="宋体" w:hAnsi="宋体"/>
          <w:color w:val="auto"/>
          <w:sz w:val="28"/>
          <w:highlight w:val="none"/>
        </w:rPr>
        <w:t>附表三：劳动力计划表</w:t>
      </w:r>
      <w:bookmarkEnd w:id="2987"/>
      <w:bookmarkEnd w:id="2988"/>
      <w:bookmarkEnd w:id="2989"/>
      <w:bookmarkEnd w:id="2990"/>
      <w:bookmarkEnd w:id="2991"/>
      <w:bookmarkEnd w:id="2992"/>
      <w:bookmarkEnd w:id="2993"/>
      <w:bookmarkEnd w:id="2994"/>
    </w:p>
    <w:p w14:paraId="09814810">
      <w:pPr>
        <w:autoSpaceDE w:val="0"/>
        <w:autoSpaceDN w:val="0"/>
        <w:adjustRightInd w:val="0"/>
        <w:snapToGrid w:val="0"/>
        <w:spacing w:line="360" w:lineRule="auto"/>
        <w:jc w:val="right"/>
        <w:rPr>
          <w:rFonts w:ascii="宋体" w:hAnsi="宋体" w:cs="MingLiU"/>
          <w:color w:val="auto"/>
          <w:kern w:val="0"/>
          <w:szCs w:val="21"/>
          <w:highlight w:val="none"/>
        </w:rPr>
      </w:pPr>
      <w:r>
        <w:rPr>
          <w:rFonts w:hint="eastAsia" w:ascii="宋体" w:hAnsi="宋体" w:cs="MingLiU"/>
          <w:color w:val="auto"/>
          <w:kern w:val="0"/>
          <w:szCs w:val="21"/>
          <w:highlight w:val="none"/>
        </w:rPr>
        <w:t>单位：人</w:t>
      </w:r>
    </w:p>
    <w:tbl>
      <w:tblPr>
        <w:tblStyle w:val="46"/>
        <w:tblW w:w="8523" w:type="dxa"/>
        <w:tblInd w:w="112" w:type="dxa"/>
        <w:tblLayout w:type="fixed"/>
        <w:tblCellMar>
          <w:top w:w="0" w:type="dxa"/>
          <w:left w:w="0" w:type="dxa"/>
          <w:bottom w:w="0" w:type="dxa"/>
          <w:right w:w="0" w:type="dxa"/>
        </w:tblCellMar>
      </w:tblPr>
      <w:tblGrid>
        <w:gridCol w:w="829"/>
        <w:gridCol w:w="1305"/>
        <w:gridCol w:w="1064"/>
        <w:gridCol w:w="1066"/>
        <w:gridCol w:w="1064"/>
        <w:gridCol w:w="1066"/>
        <w:gridCol w:w="1064"/>
        <w:gridCol w:w="1065"/>
      </w:tblGrid>
      <w:tr w14:paraId="605E535C">
        <w:tblPrEx>
          <w:tblCellMar>
            <w:top w:w="0" w:type="dxa"/>
            <w:left w:w="0" w:type="dxa"/>
            <w:bottom w:w="0" w:type="dxa"/>
            <w:right w:w="0" w:type="dxa"/>
          </w:tblCellMar>
        </w:tblPrEx>
        <w:trPr>
          <w:trHeight w:val="450" w:hRule="exact"/>
        </w:trPr>
        <w:tc>
          <w:tcPr>
            <w:tcW w:w="829" w:type="dxa"/>
            <w:vMerge w:val="restart"/>
            <w:tcBorders>
              <w:top w:val="single" w:color="000000" w:sz="4" w:space="0"/>
              <w:left w:val="single" w:color="000000" w:sz="4" w:space="0"/>
              <w:right w:val="single" w:color="000000" w:sz="4" w:space="0"/>
            </w:tcBorders>
            <w:vAlign w:val="center"/>
          </w:tcPr>
          <w:p w14:paraId="33A81DB6">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工种</w:t>
            </w:r>
          </w:p>
        </w:tc>
        <w:tc>
          <w:tcPr>
            <w:tcW w:w="7694" w:type="dxa"/>
            <w:gridSpan w:val="7"/>
            <w:tcBorders>
              <w:top w:val="single" w:color="000000" w:sz="4" w:space="0"/>
              <w:left w:val="single" w:color="000000" w:sz="4" w:space="0"/>
              <w:bottom w:val="single" w:color="000000" w:sz="4" w:space="0"/>
              <w:right w:val="single" w:color="000000" w:sz="4" w:space="0"/>
            </w:tcBorders>
            <w:vAlign w:val="center"/>
          </w:tcPr>
          <w:p w14:paraId="25A8C0A7">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按工程施工阶段投入劳动力情况</w:t>
            </w:r>
          </w:p>
        </w:tc>
      </w:tr>
      <w:tr w14:paraId="49E69C6E">
        <w:tblPrEx>
          <w:tblCellMar>
            <w:top w:w="0" w:type="dxa"/>
            <w:left w:w="0" w:type="dxa"/>
            <w:bottom w:w="0" w:type="dxa"/>
            <w:right w:w="0" w:type="dxa"/>
          </w:tblCellMar>
        </w:tblPrEx>
        <w:trPr>
          <w:trHeight w:val="450" w:hRule="exact"/>
        </w:trPr>
        <w:tc>
          <w:tcPr>
            <w:tcW w:w="829" w:type="dxa"/>
            <w:vMerge w:val="continue"/>
            <w:tcBorders>
              <w:left w:val="single" w:color="000000" w:sz="4" w:space="0"/>
              <w:bottom w:val="single" w:color="000000" w:sz="4" w:space="0"/>
              <w:right w:val="single" w:color="000000" w:sz="4" w:space="0"/>
            </w:tcBorders>
          </w:tcPr>
          <w:p w14:paraId="23CFCA11">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113CB594">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6237300F">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04264EA4">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A84258A">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2D91FBB6">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C4E038E">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01190911">
            <w:pPr>
              <w:autoSpaceDE w:val="0"/>
              <w:autoSpaceDN w:val="0"/>
              <w:adjustRightInd w:val="0"/>
              <w:snapToGrid w:val="0"/>
              <w:spacing w:line="360" w:lineRule="auto"/>
              <w:jc w:val="left"/>
              <w:rPr>
                <w:rFonts w:ascii="宋体" w:hAnsi="宋体"/>
                <w:color w:val="auto"/>
                <w:kern w:val="0"/>
                <w:sz w:val="24"/>
                <w:highlight w:val="none"/>
              </w:rPr>
            </w:pPr>
          </w:p>
        </w:tc>
      </w:tr>
      <w:tr w14:paraId="56B64209">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285B3532">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1C2FAADA">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80328E1">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3095C51">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0A0DF949">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1BAEE3D4">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9C7F19D">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779B9D4C">
            <w:pPr>
              <w:autoSpaceDE w:val="0"/>
              <w:autoSpaceDN w:val="0"/>
              <w:adjustRightInd w:val="0"/>
              <w:snapToGrid w:val="0"/>
              <w:spacing w:line="360" w:lineRule="auto"/>
              <w:jc w:val="left"/>
              <w:rPr>
                <w:rFonts w:ascii="宋体" w:hAnsi="宋体"/>
                <w:color w:val="auto"/>
                <w:kern w:val="0"/>
                <w:sz w:val="24"/>
                <w:highlight w:val="none"/>
              </w:rPr>
            </w:pPr>
          </w:p>
        </w:tc>
      </w:tr>
      <w:tr w14:paraId="6E04CB81">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1739F6D7">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020DB9E0">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6E860330">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4D74B2E9">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796185D">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46C06A7A">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30E6FCF">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3B986B7E">
            <w:pPr>
              <w:autoSpaceDE w:val="0"/>
              <w:autoSpaceDN w:val="0"/>
              <w:adjustRightInd w:val="0"/>
              <w:snapToGrid w:val="0"/>
              <w:spacing w:line="360" w:lineRule="auto"/>
              <w:jc w:val="left"/>
              <w:rPr>
                <w:rFonts w:ascii="宋体" w:hAnsi="宋体"/>
                <w:color w:val="auto"/>
                <w:kern w:val="0"/>
                <w:sz w:val="24"/>
                <w:highlight w:val="none"/>
              </w:rPr>
            </w:pPr>
          </w:p>
        </w:tc>
      </w:tr>
      <w:tr w14:paraId="7D1154E3">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2998D614">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0D45901A">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399080C">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1D82DB7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7678B35">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A4FCADF">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B7F98BB">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2AA23B55">
            <w:pPr>
              <w:autoSpaceDE w:val="0"/>
              <w:autoSpaceDN w:val="0"/>
              <w:adjustRightInd w:val="0"/>
              <w:snapToGrid w:val="0"/>
              <w:spacing w:line="360" w:lineRule="auto"/>
              <w:jc w:val="left"/>
              <w:rPr>
                <w:rFonts w:ascii="宋体" w:hAnsi="宋体"/>
                <w:color w:val="auto"/>
                <w:kern w:val="0"/>
                <w:sz w:val="24"/>
                <w:highlight w:val="none"/>
              </w:rPr>
            </w:pPr>
          </w:p>
        </w:tc>
      </w:tr>
      <w:tr w14:paraId="1C5C065C">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70A07892">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2435DC4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36E907B">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0055DAA">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B6AAEBC">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6732E2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5E7F8F4">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657651F8">
            <w:pPr>
              <w:autoSpaceDE w:val="0"/>
              <w:autoSpaceDN w:val="0"/>
              <w:adjustRightInd w:val="0"/>
              <w:snapToGrid w:val="0"/>
              <w:spacing w:line="360" w:lineRule="auto"/>
              <w:jc w:val="left"/>
              <w:rPr>
                <w:rFonts w:ascii="宋体" w:hAnsi="宋体"/>
                <w:color w:val="auto"/>
                <w:kern w:val="0"/>
                <w:sz w:val="24"/>
                <w:highlight w:val="none"/>
              </w:rPr>
            </w:pPr>
          </w:p>
        </w:tc>
      </w:tr>
      <w:tr w14:paraId="6F972A88">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26CABF4F">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0DEFB88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06B902C">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0A1DD5A">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FE100B1">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327D8886">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E525289">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3BCF2A45">
            <w:pPr>
              <w:autoSpaceDE w:val="0"/>
              <w:autoSpaceDN w:val="0"/>
              <w:adjustRightInd w:val="0"/>
              <w:snapToGrid w:val="0"/>
              <w:spacing w:line="360" w:lineRule="auto"/>
              <w:jc w:val="left"/>
              <w:rPr>
                <w:rFonts w:ascii="宋体" w:hAnsi="宋体"/>
                <w:color w:val="auto"/>
                <w:kern w:val="0"/>
                <w:sz w:val="24"/>
                <w:highlight w:val="none"/>
              </w:rPr>
            </w:pPr>
          </w:p>
        </w:tc>
      </w:tr>
      <w:tr w14:paraId="1578282D">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62A293EF">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23CDC2C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D738C32">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8737AA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10A4A26">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7DC03353">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9DAA843">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4FD64C67">
            <w:pPr>
              <w:autoSpaceDE w:val="0"/>
              <w:autoSpaceDN w:val="0"/>
              <w:adjustRightInd w:val="0"/>
              <w:snapToGrid w:val="0"/>
              <w:spacing w:line="360" w:lineRule="auto"/>
              <w:jc w:val="left"/>
              <w:rPr>
                <w:rFonts w:ascii="宋体" w:hAnsi="宋体"/>
                <w:color w:val="auto"/>
                <w:kern w:val="0"/>
                <w:sz w:val="24"/>
                <w:highlight w:val="none"/>
              </w:rPr>
            </w:pPr>
          </w:p>
        </w:tc>
      </w:tr>
      <w:tr w14:paraId="604F9770">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477B113D">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36E0DBF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40C9B13">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05E9C5E">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939F278">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5D3D003">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3BE1965">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1004E4FC">
            <w:pPr>
              <w:autoSpaceDE w:val="0"/>
              <w:autoSpaceDN w:val="0"/>
              <w:adjustRightInd w:val="0"/>
              <w:snapToGrid w:val="0"/>
              <w:spacing w:line="360" w:lineRule="auto"/>
              <w:jc w:val="left"/>
              <w:rPr>
                <w:rFonts w:ascii="宋体" w:hAnsi="宋体"/>
                <w:color w:val="auto"/>
                <w:kern w:val="0"/>
                <w:sz w:val="24"/>
                <w:highlight w:val="none"/>
              </w:rPr>
            </w:pPr>
          </w:p>
        </w:tc>
      </w:tr>
      <w:tr w14:paraId="5740C4F2">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58521F2B">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0F8AADA5">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64697F87">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30CBB559">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037B4435">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177B2BA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CF34FF8">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7DE5B0D5">
            <w:pPr>
              <w:autoSpaceDE w:val="0"/>
              <w:autoSpaceDN w:val="0"/>
              <w:adjustRightInd w:val="0"/>
              <w:snapToGrid w:val="0"/>
              <w:spacing w:line="360" w:lineRule="auto"/>
              <w:jc w:val="left"/>
              <w:rPr>
                <w:rFonts w:ascii="宋体" w:hAnsi="宋体"/>
                <w:color w:val="auto"/>
                <w:kern w:val="0"/>
                <w:sz w:val="24"/>
                <w:highlight w:val="none"/>
              </w:rPr>
            </w:pPr>
          </w:p>
        </w:tc>
      </w:tr>
      <w:tr w14:paraId="0589E2DB">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2BD8F285">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03026C2E">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60BABFC">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32D7970B">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033332DD">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2D967CE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CBBC167">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7336A6B6">
            <w:pPr>
              <w:autoSpaceDE w:val="0"/>
              <w:autoSpaceDN w:val="0"/>
              <w:adjustRightInd w:val="0"/>
              <w:snapToGrid w:val="0"/>
              <w:spacing w:line="360" w:lineRule="auto"/>
              <w:jc w:val="left"/>
              <w:rPr>
                <w:rFonts w:ascii="宋体" w:hAnsi="宋体"/>
                <w:color w:val="auto"/>
                <w:kern w:val="0"/>
                <w:sz w:val="24"/>
                <w:highlight w:val="none"/>
              </w:rPr>
            </w:pPr>
          </w:p>
        </w:tc>
      </w:tr>
      <w:tr w14:paraId="535C992A">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09FC82C4">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3463915B">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417C2D7">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EA60A91">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5DBD460">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2D32E9C3">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1786246">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21791F90">
            <w:pPr>
              <w:autoSpaceDE w:val="0"/>
              <w:autoSpaceDN w:val="0"/>
              <w:adjustRightInd w:val="0"/>
              <w:snapToGrid w:val="0"/>
              <w:spacing w:line="360" w:lineRule="auto"/>
              <w:jc w:val="left"/>
              <w:rPr>
                <w:rFonts w:ascii="宋体" w:hAnsi="宋体"/>
                <w:color w:val="auto"/>
                <w:kern w:val="0"/>
                <w:sz w:val="24"/>
                <w:highlight w:val="none"/>
              </w:rPr>
            </w:pPr>
          </w:p>
        </w:tc>
      </w:tr>
      <w:tr w14:paraId="4DEE248D">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7ADAC0D3">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2CAEB102">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F5C82C9">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23F4FD75">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FFA3BD0">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49DB16F5">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6BDDB492">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2862E52A">
            <w:pPr>
              <w:autoSpaceDE w:val="0"/>
              <w:autoSpaceDN w:val="0"/>
              <w:adjustRightInd w:val="0"/>
              <w:snapToGrid w:val="0"/>
              <w:spacing w:line="360" w:lineRule="auto"/>
              <w:jc w:val="left"/>
              <w:rPr>
                <w:rFonts w:ascii="宋体" w:hAnsi="宋体"/>
                <w:color w:val="auto"/>
                <w:kern w:val="0"/>
                <w:sz w:val="24"/>
                <w:highlight w:val="none"/>
              </w:rPr>
            </w:pPr>
          </w:p>
        </w:tc>
      </w:tr>
      <w:tr w14:paraId="7FC688A2">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4EE412CF">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291FE503">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E08AE6D">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18E68883">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5C66024">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7A99C34D">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0318E9F">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28024CFB">
            <w:pPr>
              <w:autoSpaceDE w:val="0"/>
              <w:autoSpaceDN w:val="0"/>
              <w:adjustRightInd w:val="0"/>
              <w:snapToGrid w:val="0"/>
              <w:spacing w:line="360" w:lineRule="auto"/>
              <w:jc w:val="left"/>
              <w:rPr>
                <w:rFonts w:ascii="宋体" w:hAnsi="宋体"/>
                <w:color w:val="auto"/>
                <w:kern w:val="0"/>
                <w:sz w:val="24"/>
                <w:highlight w:val="none"/>
              </w:rPr>
            </w:pPr>
          </w:p>
        </w:tc>
      </w:tr>
      <w:tr w14:paraId="2192FEC3">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062DCA20">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58B1D78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7247E48">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4E7C3F95">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5B0625E">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2F3605EB">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6980F664">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0BB6C4E5">
            <w:pPr>
              <w:autoSpaceDE w:val="0"/>
              <w:autoSpaceDN w:val="0"/>
              <w:adjustRightInd w:val="0"/>
              <w:snapToGrid w:val="0"/>
              <w:spacing w:line="360" w:lineRule="auto"/>
              <w:jc w:val="left"/>
              <w:rPr>
                <w:rFonts w:ascii="宋体" w:hAnsi="宋体"/>
                <w:color w:val="auto"/>
                <w:kern w:val="0"/>
                <w:sz w:val="24"/>
                <w:highlight w:val="none"/>
              </w:rPr>
            </w:pPr>
          </w:p>
        </w:tc>
      </w:tr>
      <w:tr w14:paraId="374FE7EF">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33B17D3C">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502BD407">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021805CB">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06181B40">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EA87861">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31EEF77E">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E7E84BC">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7674F77C">
            <w:pPr>
              <w:autoSpaceDE w:val="0"/>
              <w:autoSpaceDN w:val="0"/>
              <w:adjustRightInd w:val="0"/>
              <w:snapToGrid w:val="0"/>
              <w:spacing w:line="360" w:lineRule="auto"/>
              <w:jc w:val="left"/>
              <w:rPr>
                <w:rFonts w:ascii="宋体" w:hAnsi="宋体"/>
                <w:color w:val="auto"/>
                <w:kern w:val="0"/>
                <w:sz w:val="24"/>
                <w:highlight w:val="none"/>
              </w:rPr>
            </w:pPr>
          </w:p>
        </w:tc>
      </w:tr>
      <w:tr w14:paraId="0F6883E5">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42581075">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3F57487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4637CD8">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00142121">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578F4D4">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193885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038C09E">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668CD209">
            <w:pPr>
              <w:autoSpaceDE w:val="0"/>
              <w:autoSpaceDN w:val="0"/>
              <w:adjustRightInd w:val="0"/>
              <w:snapToGrid w:val="0"/>
              <w:spacing w:line="360" w:lineRule="auto"/>
              <w:jc w:val="left"/>
              <w:rPr>
                <w:rFonts w:ascii="宋体" w:hAnsi="宋体"/>
                <w:color w:val="auto"/>
                <w:kern w:val="0"/>
                <w:sz w:val="24"/>
                <w:highlight w:val="none"/>
              </w:rPr>
            </w:pPr>
          </w:p>
        </w:tc>
      </w:tr>
      <w:tr w14:paraId="30A0823C">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236ED524">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6AA61EAD">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BB63162">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468E5964">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7A18E2AA">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2BF3AEA2">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FADA78A">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4DDFC46A">
            <w:pPr>
              <w:autoSpaceDE w:val="0"/>
              <w:autoSpaceDN w:val="0"/>
              <w:adjustRightInd w:val="0"/>
              <w:snapToGrid w:val="0"/>
              <w:spacing w:line="360" w:lineRule="auto"/>
              <w:jc w:val="left"/>
              <w:rPr>
                <w:rFonts w:ascii="宋体" w:hAnsi="宋体"/>
                <w:color w:val="auto"/>
                <w:kern w:val="0"/>
                <w:sz w:val="24"/>
                <w:highlight w:val="none"/>
              </w:rPr>
            </w:pPr>
          </w:p>
        </w:tc>
      </w:tr>
      <w:tr w14:paraId="4B4149EF">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14CA32E7">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28CF9995">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B7C1D0F">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1D36FDAD">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1A9A343">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3D1120F5">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2528BBB">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3DA71BEB">
            <w:pPr>
              <w:autoSpaceDE w:val="0"/>
              <w:autoSpaceDN w:val="0"/>
              <w:adjustRightInd w:val="0"/>
              <w:snapToGrid w:val="0"/>
              <w:spacing w:line="360" w:lineRule="auto"/>
              <w:jc w:val="left"/>
              <w:rPr>
                <w:rFonts w:ascii="宋体" w:hAnsi="宋体"/>
                <w:color w:val="auto"/>
                <w:kern w:val="0"/>
                <w:sz w:val="24"/>
                <w:highlight w:val="none"/>
              </w:rPr>
            </w:pPr>
          </w:p>
        </w:tc>
      </w:tr>
      <w:tr w14:paraId="25F56173">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40AB6B41">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6771C2EE">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090F95C">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26C4B82">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65A7EBE">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09C12A01">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992FEFA">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351A6FD8">
            <w:pPr>
              <w:autoSpaceDE w:val="0"/>
              <w:autoSpaceDN w:val="0"/>
              <w:adjustRightInd w:val="0"/>
              <w:snapToGrid w:val="0"/>
              <w:spacing w:line="360" w:lineRule="auto"/>
              <w:jc w:val="left"/>
              <w:rPr>
                <w:rFonts w:ascii="宋体" w:hAnsi="宋体"/>
                <w:color w:val="auto"/>
                <w:kern w:val="0"/>
                <w:sz w:val="24"/>
                <w:highlight w:val="none"/>
              </w:rPr>
            </w:pPr>
          </w:p>
        </w:tc>
      </w:tr>
      <w:tr w14:paraId="3299E3D4">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051C4F62">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67962790">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B594275">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BCBDB0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DA4A268">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72B4FB9">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0A91EEC">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14861555">
            <w:pPr>
              <w:autoSpaceDE w:val="0"/>
              <w:autoSpaceDN w:val="0"/>
              <w:adjustRightInd w:val="0"/>
              <w:snapToGrid w:val="0"/>
              <w:spacing w:line="360" w:lineRule="auto"/>
              <w:jc w:val="left"/>
              <w:rPr>
                <w:rFonts w:ascii="宋体" w:hAnsi="宋体"/>
                <w:color w:val="auto"/>
                <w:kern w:val="0"/>
                <w:sz w:val="24"/>
                <w:highlight w:val="none"/>
              </w:rPr>
            </w:pPr>
          </w:p>
        </w:tc>
      </w:tr>
      <w:tr w14:paraId="4690C261">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60DCC61D">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078A0306">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66C1BEB8">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320A04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8001EFC">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79BBA735">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5EC4E1D">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12C7D6E3">
            <w:pPr>
              <w:autoSpaceDE w:val="0"/>
              <w:autoSpaceDN w:val="0"/>
              <w:adjustRightInd w:val="0"/>
              <w:snapToGrid w:val="0"/>
              <w:spacing w:line="360" w:lineRule="auto"/>
              <w:jc w:val="left"/>
              <w:rPr>
                <w:rFonts w:ascii="宋体" w:hAnsi="宋体"/>
                <w:color w:val="auto"/>
                <w:kern w:val="0"/>
                <w:sz w:val="24"/>
                <w:highlight w:val="none"/>
              </w:rPr>
            </w:pPr>
          </w:p>
        </w:tc>
      </w:tr>
      <w:tr w14:paraId="3D69F76B">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2917F53C">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7F92D7ED">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C7EE181">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0546B162">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508AE700">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4F47E653">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BAF36E0">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5D61E10E">
            <w:pPr>
              <w:autoSpaceDE w:val="0"/>
              <w:autoSpaceDN w:val="0"/>
              <w:adjustRightInd w:val="0"/>
              <w:snapToGrid w:val="0"/>
              <w:spacing w:line="360" w:lineRule="auto"/>
              <w:jc w:val="left"/>
              <w:rPr>
                <w:rFonts w:ascii="宋体" w:hAnsi="宋体"/>
                <w:color w:val="auto"/>
                <w:kern w:val="0"/>
                <w:sz w:val="24"/>
                <w:highlight w:val="none"/>
              </w:rPr>
            </w:pPr>
          </w:p>
        </w:tc>
      </w:tr>
      <w:tr w14:paraId="7B98A8C3">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5A77D565">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71E94AEB">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ABA09AC">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4381AB6">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2B661AE">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4B99F038">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28DD8B70">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37F231DE">
            <w:pPr>
              <w:autoSpaceDE w:val="0"/>
              <w:autoSpaceDN w:val="0"/>
              <w:adjustRightInd w:val="0"/>
              <w:snapToGrid w:val="0"/>
              <w:spacing w:line="360" w:lineRule="auto"/>
              <w:jc w:val="left"/>
              <w:rPr>
                <w:rFonts w:ascii="宋体" w:hAnsi="宋体"/>
                <w:color w:val="auto"/>
                <w:kern w:val="0"/>
                <w:sz w:val="24"/>
                <w:highlight w:val="none"/>
              </w:rPr>
            </w:pPr>
          </w:p>
        </w:tc>
      </w:tr>
      <w:tr w14:paraId="07EC5164">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68ACFADC">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409DEA8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3814D081">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6C435299">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38C2CFA">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505F8F5E">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4A527882">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1BE0A9CD">
            <w:pPr>
              <w:autoSpaceDE w:val="0"/>
              <w:autoSpaceDN w:val="0"/>
              <w:adjustRightInd w:val="0"/>
              <w:snapToGrid w:val="0"/>
              <w:spacing w:line="360" w:lineRule="auto"/>
              <w:jc w:val="left"/>
              <w:rPr>
                <w:rFonts w:ascii="宋体" w:hAnsi="宋体"/>
                <w:color w:val="auto"/>
                <w:kern w:val="0"/>
                <w:sz w:val="24"/>
                <w:highlight w:val="none"/>
              </w:rPr>
            </w:pPr>
          </w:p>
        </w:tc>
      </w:tr>
      <w:tr w14:paraId="1C1C9FF6">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14:paraId="4264F187">
            <w:pPr>
              <w:autoSpaceDE w:val="0"/>
              <w:autoSpaceDN w:val="0"/>
              <w:adjustRightInd w:val="0"/>
              <w:snapToGrid w:val="0"/>
              <w:spacing w:line="360" w:lineRule="auto"/>
              <w:jc w:val="left"/>
              <w:rPr>
                <w:rFonts w:ascii="宋体" w:hAnsi="宋体"/>
                <w:color w:val="auto"/>
                <w:kern w:val="0"/>
                <w:sz w:val="24"/>
                <w:highlight w:val="none"/>
              </w:rPr>
            </w:pPr>
          </w:p>
        </w:tc>
        <w:tc>
          <w:tcPr>
            <w:tcW w:w="1305" w:type="dxa"/>
            <w:tcBorders>
              <w:top w:val="single" w:color="000000" w:sz="4" w:space="0"/>
              <w:left w:val="single" w:color="000000" w:sz="4" w:space="0"/>
              <w:bottom w:val="single" w:color="000000" w:sz="4" w:space="0"/>
              <w:right w:val="single" w:color="000000" w:sz="4" w:space="0"/>
            </w:tcBorders>
          </w:tcPr>
          <w:p w14:paraId="4B15D7DC">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4D4E2B8">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071FEA1F">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194715CA">
            <w:pPr>
              <w:autoSpaceDE w:val="0"/>
              <w:autoSpaceDN w:val="0"/>
              <w:adjustRightInd w:val="0"/>
              <w:snapToGrid w:val="0"/>
              <w:spacing w:line="360" w:lineRule="auto"/>
              <w:jc w:val="left"/>
              <w:rPr>
                <w:rFonts w:ascii="宋体" w:hAnsi="宋体"/>
                <w:color w:val="auto"/>
                <w:kern w:val="0"/>
                <w:sz w:val="24"/>
                <w:highlight w:val="none"/>
              </w:rPr>
            </w:pPr>
          </w:p>
        </w:tc>
        <w:tc>
          <w:tcPr>
            <w:tcW w:w="1066" w:type="dxa"/>
            <w:tcBorders>
              <w:top w:val="single" w:color="000000" w:sz="4" w:space="0"/>
              <w:left w:val="single" w:color="000000" w:sz="4" w:space="0"/>
              <w:bottom w:val="single" w:color="000000" w:sz="4" w:space="0"/>
              <w:right w:val="single" w:color="000000" w:sz="4" w:space="0"/>
            </w:tcBorders>
          </w:tcPr>
          <w:p w14:paraId="0BF6C447">
            <w:pPr>
              <w:autoSpaceDE w:val="0"/>
              <w:autoSpaceDN w:val="0"/>
              <w:adjustRightInd w:val="0"/>
              <w:snapToGrid w:val="0"/>
              <w:spacing w:line="360" w:lineRule="auto"/>
              <w:jc w:val="left"/>
              <w:rPr>
                <w:rFonts w:ascii="宋体" w:hAnsi="宋体"/>
                <w:color w:val="auto"/>
                <w:kern w:val="0"/>
                <w:sz w:val="24"/>
                <w:highlight w:val="none"/>
              </w:rPr>
            </w:pPr>
          </w:p>
        </w:tc>
        <w:tc>
          <w:tcPr>
            <w:tcW w:w="1064" w:type="dxa"/>
            <w:tcBorders>
              <w:top w:val="single" w:color="000000" w:sz="4" w:space="0"/>
              <w:left w:val="single" w:color="000000" w:sz="4" w:space="0"/>
              <w:bottom w:val="single" w:color="000000" w:sz="4" w:space="0"/>
              <w:right w:val="single" w:color="000000" w:sz="4" w:space="0"/>
            </w:tcBorders>
          </w:tcPr>
          <w:p w14:paraId="0D6029B4">
            <w:pPr>
              <w:autoSpaceDE w:val="0"/>
              <w:autoSpaceDN w:val="0"/>
              <w:adjustRightInd w:val="0"/>
              <w:snapToGrid w:val="0"/>
              <w:spacing w:line="360" w:lineRule="auto"/>
              <w:jc w:val="left"/>
              <w:rPr>
                <w:rFonts w:ascii="宋体" w:hAnsi="宋体"/>
                <w:color w:val="auto"/>
                <w:kern w:val="0"/>
                <w:sz w:val="24"/>
                <w:highlight w:val="none"/>
              </w:rPr>
            </w:pPr>
          </w:p>
        </w:tc>
        <w:tc>
          <w:tcPr>
            <w:tcW w:w="1065" w:type="dxa"/>
            <w:tcBorders>
              <w:top w:val="single" w:color="000000" w:sz="4" w:space="0"/>
              <w:left w:val="single" w:color="000000" w:sz="4" w:space="0"/>
              <w:bottom w:val="single" w:color="000000" w:sz="4" w:space="0"/>
              <w:right w:val="single" w:color="000000" w:sz="4" w:space="0"/>
            </w:tcBorders>
          </w:tcPr>
          <w:p w14:paraId="58471FE5">
            <w:pPr>
              <w:autoSpaceDE w:val="0"/>
              <w:autoSpaceDN w:val="0"/>
              <w:adjustRightInd w:val="0"/>
              <w:snapToGrid w:val="0"/>
              <w:spacing w:line="360" w:lineRule="auto"/>
              <w:jc w:val="left"/>
              <w:rPr>
                <w:rFonts w:ascii="宋体" w:hAnsi="宋体"/>
                <w:color w:val="auto"/>
                <w:kern w:val="0"/>
                <w:sz w:val="24"/>
                <w:highlight w:val="none"/>
              </w:rPr>
            </w:pPr>
          </w:p>
        </w:tc>
      </w:tr>
    </w:tbl>
    <w:p w14:paraId="2AB2B4FF">
      <w:pPr>
        <w:autoSpaceDE w:val="0"/>
        <w:autoSpaceDN w:val="0"/>
        <w:adjustRightInd w:val="0"/>
        <w:snapToGrid w:val="0"/>
        <w:spacing w:line="360" w:lineRule="auto"/>
        <w:jc w:val="left"/>
        <w:rPr>
          <w:rFonts w:ascii="宋体" w:hAnsi="宋体"/>
          <w:color w:val="auto"/>
          <w:kern w:val="0"/>
          <w:highlight w:val="none"/>
        </w:rPr>
      </w:pPr>
    </w:p>
    <w:p w14:paraId="78790093">
      <w:pPr>
        <w:pStyle w:val="5"/>
        <w:jc w:val="center"/>
        <w:rPr>
          <w:rFonts w:ascii="宋体" w:hAnsi="宋体"/>
          <w:color w:val="auto"/>
          <w:sz w:val="28"/>
          <w:highlight w:val="none"/>
        </w:rPr>
      </w:pPr>
      <w:bookmarkStart w:id="2995" w:name="_Toc18047"/>
      <w:bookmarkStart w:id="2996" w:name="_Toc16000478"/>
      <w:bookmarkStart w:id="2997" w:name="_Toc3876"/>
      <w:bookmarkStart w:id="2998" w:name="_Toc13879"/>
      <w:r>
        <w:rPr>
          <w:rFonts w:hint="eastAsia" w:ascii="宋体" w:hAnsi="宋体"/>
          <w:color w:val="auto"/>
          <w:sz w:val="28"/>
          <w:highlight w:val="none"/>
        </w:rPr>
        <w:t>附表四：计划开、竣工日期和施工进度网络图</w:t>
      </w:r>
      <w:bookmarkEnd w:id="2975"/>
      <w:bookmarkEnd w:id="2976"/>
      <w:bookmarkEnd w:id="2977"/>
      <w:bookmarkEnd w:id="2978"/>
      <w:bookmarkEnd w:id="2995"/>
      <w:bookmarkEnd w:id="2996"/>
      <w:bookmarkEnd w:id="2997"/>
      <w:bookmarkEnd w:id="2998"/>
    </w:p>
    <w:p w14:paraId="768614D9">
      <w:pPr>
        <w:autoSpaceDE w:val="0"/>
        <w:autoSpaceDN w:val="0"/>
        <w:adjustRightInd w:val="0"/>
        <w:snapToGrid w:val="0"/>
        <w:spacing w:line="360" w:lineRule="auto"/>
        <w:jc w:val="left"/>
        <w:rPr>
          <w:rFonts w:ascii="宋体" w:hAnsi="宋体" w:cs="MingLiU"/>
          <w:color w:val="auto"/>
          <w:kern w:val="0"/>
          <w:sz w:val="20"/>
          <w:szCs w:val="20"/>
          <w:highlight w:val="none"/>
        </w:rPr>
      </w:pPr>
    </w:p>
    <w:p w14:paraId="5C4B6616">
      <w:pPr>
        <w:autoSpaceDE w:val="0"/>
        <w:autoSpaceDN w:val="0"/>
        <w:adjustRightInd w:val="0"/>
        <w:snapToGrid w:val="0"/>
        <w:spacing w:line="360" w:lineRule="auto"/>
        <w:ind w:firstLine="420"/>
        <w:jc w:val="left"/>
        <w:rPr>
          <w:rFonts w:ascii="宋体" w:hAnsi="宋体" w:cs="MingLiU"/>
          <w:color w:val="auto"/>
          <w:kern w:val="0"/>
          <w:szCs w:val="21"/>
          <w:highlight w:val="none"/>
        </w:rPr>
      </w:pPr>
      <w:r>
        <w:rPr>
          <w:rFonts w:ascii="宋体" w:hAnsi="宋体"/>
          <w:color w:val="auto"/>
          <w:kern w:val="0"/>
          <w:szCs w:val="21"/>
          <w:highlight w:val="none"/>
        </w:rPr>
        <w:t xml:space="preserve">1. </w:t>
      </w:r>
      <w:r>
        <w:rPr>
          <w:rFonts w:hint="eastAsia" w:ascii="宋体" w:hAnsi="宋体" w:cs="MingLiU"/>
          <w:color w:val="auto"/>
          <w:spacing w:val="1"/>
          <w:kern w:val="0"/>
          <w:szCs w:val="21"/>
          <w:highlight w:val="none"/>
        </w:rPr>
        <w:t>比选申请人</w:t>
      </w:r>
      <w:r>
        <w:rPr>
          <w:rFonts w:hint="eastAsia" w:ascii="宋体" w:hAnsi="宋体" w:cs="MingLiU"/>
          <w:color w:val="auto"/>
          <w:spacing w:val="2"/>
          <w:kern w:val="0"/>
          <w:szCs w:val="21"/>
          <w:highlight w:val="none"/>
        </w:rPr>
        <w:t>应</w:t>
      </w:r>
      <w:r>
        <w:rPr>
          <w:rFonts w:hint="eastAsia" w:ascii="宋体" w:hAnsi="宋体" w:cs="MingLiU"/>
          <w:color w:val="auto"/>
          <w:spacing w:val="1"/>
          <w:kern w:val="0"/>
          <w:szCs w:val="21"/>
          <w:highlight w:val="none"/>
        </w:rPr>
        <w:t>递交</w:t>
      </w:r>
      <w:r>
        <w:rPr>
          <w:rFonts w:hint="eastAsia" w:ascii="宋体" w:hAnsi="宋体" w:cs="MingLiU"/>
          <w:color w:val="auto"/>
          <w:spacing w:val="2"/>
          <w:kern w:val="0"/>
          <w:szCs w:val="21"/>
          <w:highlight w:val="none"/>
        </w:rPr>
        <w:t>施</w:t>
      </w:r>
      <w:r>
        <w:rPr>
          <w:rFonts w:hint="eastAsia" w:ascii="宋体" w:hAnsi="宋体" w:cs="MingLiU"/>
          <w:color w:val="auto"/>
          <w:spacing w:val="1"/>
          <w:kern w:val="0"/>
          <w:szCs w:val="21"/>
          <w:highlight w:val="none"/>
        </w:rPr>
        <w:t>工</w:t>
      </w:r>
      <w:r>
        <w:rPr>
          <w:rFonts w:hint="eastAsia" w:ascii="宋体" w:hAnsi="宋体" w:cs="MingLiU"/>
          <w:color w:val="auto"/>
          <w:spacing w:val="2"/>
          <w:kern w:val="0"/>
          <w:szCs w:val="21"/>
          <w:highlight w:val="none"/>
        </w:rPr>
        <w:t>进</w:t>
      </w:r>
      <w:r>
        <w:rPr>
          <w:rFonts w:hint="eastAsia" w:ascii="宋体" w:hAnsi="宋体" w:cs="MingLiU"/>
          <w:color w:val="auto"/>
          <w:spacing w:val="1"/>
          <w:kern w:val="0"/>
          <w:szCs w:val="21"/>
          <w:highlight w:val="none"/>
        </w:rPr>
        <w:t>度网</w:t>
      </w:r>
      <w:r>
        <w:rPr>
          <w:rFonts w:hint="eastAsia" w:ascii="宋体" w:hAnsi="宋体" w:cs="MingLiU"/>
          <w:color w:val="auto"/>
          <w:spacing w:val="2"/>
          <w:kern w:val="0"/>
          <w:szCs w:val="21"/>
          <w:highlight w:val="none"/>
        </w:rPr>
        <w:t>络</w:t>
      </w:r>
      <w:r>
        <w:rPr>
          <w:rFonts w:hint="eastAsia" w:ascii="宋体" w:hAnsi="宋体" w:cs="MingLiU"/>
          <w:color w:val="auto"/>
          <w:spacing w:val="1"/>
          <w:kern w:val="0"/>
          <w:szCs w:val="21"/>
          <w:highlight w:val="none"/>
        </w:rPr>
        <w:t>图</w:t>
      </w:r>
      <w:r>
        <w:rPr>
          <w:rFonts w:hint="eastAsia" w:ascii="宋体" w:hAnsi="宋体" w:cs="MingLiU"/>
          <w:color w:val="auto"/>
          <w:spacing w:val="2"/>
          <w:kern w:val="0"/>
          <w:szCs w:val="21"/>
          <w:highlight w:val="none"/>
        </w:rPr>
        <w:t>或</w:t>
      </w:r>
      <w:r>
        <w:rPr>
          <w:rFonts w:hint="eastAsia" w:ascii="宋体" w:hAnsi="宋体" w:cs="MingLiU"/>
          <w:color w:val="auto"/>
          <w:spacing w:val="1"/>
          <w:kern w:val="0"/>
          <w:szCs w:val="21"/>
          <w:highlight w:val="none"/>
        </w:rPr>
        <w:t>施工</w:t>
      </w:r>
      <w:r>
        <w:rPr>
          <w:rFonts w:hint="eastAsia" w:ascii="宋体" w:hAnsi="宋体" w:cs="MingLiU"/>
          <w:color w:val="auto"/>
          <w:spacing w:val="2"/>
          <w:kern w:val="0"/>
          <w:szCs w:val="21"/>
          <w:highlight w:val="none"/>
        </w:rPr>
        <w:t>进</w:t>
      </w:r>
      <w:r>
        <w:rPr>
          <w:rFonts w:hint="eastAsia" w:ascii="宋体" w:hAnsi="宋体" w:cs="MingLiU"/>
          <w:color w:val="auto"/>
          <w:spacing w:val="1"/>
          <w:kern w:val="0"/>
          <w:szCs w:val="21"/>
          <w:highlight w:val="none"/>
        </w:rPr>
        <w:t>度</w:t>
      </w:r>
      <w:r>
        <w:rPr>
          <w:rFonts w:hint="eastAsia" w:ascii="宋体" w:hAnsi="宋体" w:cs="MingLiU"/>
          <w:color w:val="auto"/>
          <w:spacing w:val="2"/>
          <w:kern w:val="0"/>
          <w:szCs w:val="21"/>
          <w:highlight w:val="none"/>
        </w:rPr>
        <w:t>表</w:t>
      </w:r>
      <w:r>
        <w:rPr>
          <w:rFonts w:hint="eastAsia" w:ascii="宋体" w:hAnsi="宋体" w:cs="MingLiU"/>
          <w:color w:val="auto"/>
          <w:spacing w:val="1"/>
          <w:kern w:val="0"/>
          <w:szCs w:val="21"/>
          <w:highlight w:val="none"/>
        </w:rPr>
        <w:t>，说</w:t>
      </w:r>
      <w:r>
        <w:rPr>
          <w:rFonts w:hint="eastAsia" w:ascii="宋体" w:hAnsi="宋体" w:cs="MingLiU"/>
          <w:color w:val="auto"/>
          <w:spacing w:val="2"/>
          <w:kern w:val="0"/>
          <w:szCs w:val="21"/>
          <w:highlight w:val="none"/>
        </w:rPr>
        <w:t>明</w:t>
      </w:r>
      <w:r>
        <w:rPr>
          <w:rFonts w:hint="eastAsia" w:ascii="宋体" w:hAnsi="宋体" w:cs="MingLiU"/>
          <w:color w:val="auto"/>
          <w:spacing w:val="1"/>
          <w:kern w:val="0"/>
          <w:szCs w:val="21"/>
          <w:highlight w:val="none"/>
        </w:rPr>
        <w:t>按</w:t>
      </w:r>
      <w:r>
        <w:rPr>
          <w:rFonts w:hint="eastAsia" w:ascii="宋体" w:hAnsi="宋体" w:cs="MingLiU"/>
          <w:color w:val="auto"/>
          <w:spacing w:val="2"/>
          <w:kern w:val="0"/>
          <w:szCs w:val="21"/>
          <w:highlight w:val="none"/>
        </w:rPr>
        <w:t>比选</w:t>
      </w:r>
      <w:r>
        <w:rPr>
          <w:rFonts w:hint="eastAsia" w:ascii="宋体" w:hAnsi="宋体" w:cs="MingLiU"/>
          <w:color w:val="auto"/>
          <w:spacing w:val="1"/>
          <w:kern w:val="0"/>
          <w:szCs w:val="21"/>
          <w:highlight w:val="none"/>
        </w:rPr>
        <w:t>文</w:t>
      </w:r>
      <w:r>
        <w:rPr>
          <w:rFonts w:hint="eastAsia" w:ascii="宋体" w:hAnsi="宋体" w:cs="MingLiU"/>
          <w:color w:val="auto"/>
          <w:spacing w:val="2"/>
          <w:kern w:val="0"/>
          <w:szCs w:val="21"/>
          <w:highlight w:val="none"/>
        </w:rPr>
        <w:t>件</w:t>
      </w:r>
      <w:r>
        <w:rPr>
          <w:rFonts w:hint="eastAsia" w:ascii="宋体" w:hAnsi="宋体" w:cs="MingLiU"/>
          <w:color w:val="auto"/>
          <w:spacing w:val="1"/>
          <w:kern w:val="0"/>
          <w:szCs w:val="21"/>
          <w:highlight w:val="none"/>
        </w:rPr>
        <w:t>要</w:t>
      </w:r>
      <w:r>
        <w:rPr>
          <w:rFonts w:hint="eastAsia" w:ascii="宋体" w:hAnsi="宋体" w:cs="MingLiU"/>
          <w:color w:val="auto"/>
          <w:spacing w:val="2"/>
          <w:kern w:val="0"/>
          <w:szCs w:val="21"/>
          <w:highlight w:val="none"/>
        </w:rPr>
        <w:t>求</w:t>
      </w:r>
      <w:r>
        <w:rPr>
          <w:rFonts w:hint="eastAsia" w:ascii="宋体" w:hAnsi="宋体" w:cs="MingLiU"/>
          <w:color w:val="auto"/>
          <w:spacing w:val="1"/>
          <w:kern w:val="0"/>
          <w:szCs w:val="21"/>
          <w:highlight w:val="none"/>
        </w:rPr>
        <w:t>的计</w:t>
      </w:r>
      <w:r>
        <w:rPr>
          <w:rFonts w:hint="eastAsia" w:ascii="宋体" w:hAnsi="宋体" w:cs="MingLiU"/>
          <w:color w:val="auto"/>
          <w:spacing w:val="2"/>
          <w:kern w:val="0"/>
          <w:szCs w:val="21"/>
          <w:highlight w:val="none"/>
        </w:rPr>
        <w:t>划</w:t>
      </w:r>
      <w:r>
        <w:rPr>
          <w:rFonts w:hint="eastAsia" w:ascii="宋体" w:hAnsi="宋体" w:cs="MingLiU"/>
          <w:color w:val="auto"/>
          <w:spacing w:val="1"/>
          <w:kern w:val="0"/>
          <w:szCs w:val="21"/>
          <w:highlight w:val="none"/>
        </w:rPr>
        <w:t>工</w:t>
      </w:r>
      <w:r>
        <w:rPr>
          <w:rFonts w:hint="eastAsia" w:ascii="宋体" w:hAnsi="宋体" w:cs="MingLiU"/>
          <w:color w:val="auto"/>
          <w:spacing w:val="4"/>
          <w:kern w:val="0"/>
          <w:szCs w:val="21"/>
          <w:highlight w:val="none"/>
        </w:rPr>
        <w:t>期</w:t>
      </w:r>
      <w:r>
        <w:rPr>
          <w:rFonts w:hint="eastAsia" w:ascii="宋体" w:hAnsi="宋体" w:cs="MingLiU"/>
          <w:color w:val="auto"/>
          <w:spacing w:val="2"/>
          <w:kern w:val="0"/>
          <w:szCs w:val="21"/>
          <w:highlight w:val="none"/>
        </w:rPr>
        <w:t>进</w:t>
      </w:r>
      <w:r>
        <w:rPr>
          <w:rFonts w:hint="eastAsia" w:ascii="宋体" w:hAnsi="宋体" w:cs="MingLiU"/>
          <w:color w:val="auto"/>
          <w:spacing w:val="1"/>
          <w:kern w:val="0"/>
          <w:szCs w:val="21"/>
          <w:highlight w:val="none"/>
        </w:rPr>
        <w:t>行</w:t>
      </w:r>
      <w:r>
        <w:rPr>
          <w:rFonts w:hint="eastAsia" w:ascii="宋体" w:hAnsi="宋体" w:cs="MingLiU"/>
          <w:color w:val="auto"/>
          <w:kern w:val="0"/>
          <w:szCs w:val="21"/>
          <w:highlight w:val="none"/>
        </w:rPr>
        <w:t>施工的各个关键日期。</w:t>
      </w:r>
    </w:p>
    <w:p w14:paraId="0375C987">
      <w:pPr>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ascii="宋体" w:hAnsi="宋体"/>
          <w:color w:val="auto"/>
          <w:kern w:val="0"/>
          <w:szCs w:val="21"/>
          <w:highlight w:val="none"/>
        </w:rPr>
        <w:t xml:space="preserve">2. </w:t>
      </w:r>
      <w:r>
        <w:rPr>
          <w:rFonts w:hint="eastAsia" w:ascii="宋体" w:hAnsi="宋体" w:cs="MingLiU"/>
          <w:color w:val="auto"/>
          <w:kern w:val="0"/>
          <w:szCs w:val="21"/>
          <w:highlight w:val="none"/>
        </w:rPr>
        <w:t>施工进</w:t>
      </w:r>
      <w:r>
        <w:rPr>
          <w:rFonts w:hint="eastAsia" w:ascii="宋体" w:hAnsi="宋体" w:cs="MingLiU"/>
          <w:color w:val="auto"/>
          <w:spacing w:val="-1"/>
          <w:kern w:val="0"/>
          <w:szCs w:val="21"/>
          <w:highlight w:val="none"/>
        </w:rPr>
        <w:t>度</w:t>
      </w:r>
      <w:r>
        <w:rPr>
          <w:rFonts w:hint="eastAsia" w:ascii="宋体" w:hAnsi="宋体" w:cs="MingLiU"/>
          <w:color w:val="auto"/>
          <w:kern w:val="0"/>
          <w:szCs w:val="21"/>
          <w:highlight w:val="none"/>
        </w:rPr>
        <w:t>表可采用网络图表示。</w:t>
      </w:r>
    </w:p>
    <w:p w14:paraId="58417A73">
      <w:pPr>
        <w:autoSpaceDE w:val="0"/>
        <w:autoSpaceDN w:val="0"/>
        <w:adjustRightInd w:val="0"/>
        <w:snapToGrid w:val="0"/>
        <w:spacing w:line="360" w:lineRule="auto"/>
        <w:jc w:val="left"/>
        <w:rPr>
          <w:rFonts w:ascii="宋体" w:hAnsi="宋体" w:cs="MingLiU"/>
          <w:color w:val="auto"/>
          <w:kern w:val="0"/>
          <w:sz w:val="24"/>
          <w:highlight w:val="none"/>
        </w:rPr>
      </w:pPr>
    </w:p>
    <w:p w14:paraId="37974C87">
      <w:pPr>
        <w:autoSpaceDE w:val="0"/>
        <w:autoSpaceDN w:val="0"/>
        <w:adjustRightInd w:val="0"/>
        <w:snapToGrid w:val="0"/>
        <w:spacing w:line="360" w:lineRule="auto"/>
        <w:jc w:val="left"/>
        <w:rPr>
          <w:rFonts w:ascii="宋体" w:hAnsi="宋体" w:cs="MingLiU"/>
          <w:color w:val="auto"/>
          <w:kern w:val="0"/>
          <w:sz w:val="24"/>
          <w:highlight w:val="none"/>
        </w:rPr>
      </w:pPr>
    </w:p>
    <w:p w14:paraId="6A8F5815">
      <w:pPr>
        <w:autoSpaceDE w:val="0"/>
        <w:autoSpaceDN w:val="0"/>
        <w:adjustRightInd w:val="0"/>
        <w:snapToGrid w:val="0"/>
        <w:spacing w:line="360" w:lineRule="auto"/>
        <w:jc w:val="left"/>
        <w:rPr>
          <w:rFonts w:ascii="宋体" w:hAnsi="宋体" w:cs="MingLiU"/>
          <w:color w:val="auto"/>
          <w:kern w:val="0"/>
          <w:sz w:val="24"/>
          <w:highlight w:val="none"/>
        </w:rPr>
      </w:pPr>
    </w:p>
    <w:p w14:paraId="789EDAFB">
      <w:pPr>
        <w:autoSpaceDE w:val="0"/>
        <w:autoSpaceDN w:val="0"/>
        <w:adjustRightInd w:val="0"/>
        <w:snapToGrid w:val="0"/>
        <w:spacing w:line="360" w:lineRule="auto"/>
        <w:jc w:val="left"/>
        <w:rPr>
          <w:rFonts w:ascii="宋体" w:hAnsi="宋体" w:cs="MingLiU"/>
          <w:color w:val="auto"/>
          <w:kern w:val="0"/>
          <w:sz w:val="24"/>
          <w:highlight w:val="none"/>
        </w:rPr>
      </w:pPr>
    </w:p>
    <w:p w14:paraId="15096D20">
      <w:pPr>
        <w:autoSpaceDE w:val="0"/>
        <w:autoSpaceDN w:val="0"/>
        <w:adjustRightInd w:val="0"/>
        <w:snapToGrid w:val="0"/>
        <w:spacing w:line="360" w:lineRule="auto"/>
        <w:jc w:val="left"/>
        <w:rPr>
          <w:rFonts w:ascii="宋体" w:hAnsi="宋体" w:cs="MingLiU"/>
          <w:color w:val="auto"/>
          <w:kern w:val="0"/>
          <w:sz w:val="24"/>
          <w:highlight w:val="none"/>
        </w:rPr>
      </w:pPr>
    </w:p>
    <w:p w14:paraId="419395C5">
      <w:pPr>
        <w:autoSpaceDE w:val="0"/>
        <w:autoSpaceDN w:val="0"/>
        <w:adjustRightInd w:val="0"/>
        <w:snapToGrid w:val="0"/>
        <w:spacing w:line="360" w:lineRule="auto"/>
        <w:jc w:val="left"/>
        <w:rPr>
          <w:rFonts w:ascii="宋体" w:hAnsi="宋体" w:cs="MingLiU"/>
          <w:color w:val="auto"/>
          <w:kern w:val="0"/>
          <w:sz w:val="24"/>
          <w:highlight w:val="none"/>
        </w:rPr>
      </w:pPr>
    </w:p>
    <w:p w14:paraId="4FB591AC">
      <w:pPr>
        <w:autoSpaceDE w:val="0"/>
        <w:autoSpaceDN w:val="0"/>
        <w:adjustRightInd w:val="0"/>
        <w:snapToGrid w:val="0"/>
        <w:spacing w:line="360" w:lineRule="auto"/>
        <w:jc w:val="left"/>
        <w:rPr>
          <w:rFonts w:ascii="宋体" w:hAnsi="宋体" w:cs="MingLiU"/>
          <w:color w:val="auto"/>
          <w:kern w:val="0"/>
          <w:sz w:val="24"/>
          <w:highlight w:val="none"/>
        </w:rPr>
      </w:pPr>
    </w:p>
    <w:p w14:paraId="12547040">
      <w:pPr>
        <w:autoSpaceDE w:val="0"/>
        <w:autoSpaceDN w:val="0"/>
        <w:adjustRightInd w:val="0"/>
        <w:snapToGrid w:val="0"/>
        <w:spacing w:line="360" w:lineRule="auto"/>
        <w:jc w:val="left"/>
        <w:rPr>
          <w:rFonts w:ascii="宋体" w:hAnsi="宋体" w:cs="MingLiU"/>
          <w:color w:val="auto"/>
          <w:kern w:val="0"/>
          <w:sz w:val="24"/>
          <w:highlight w:val="none"/>
        </w:rPr>
      </w:pPr>
    </w:p>
    <w:p w14:paraId="0930B727">
      <w:pPr>
        <w:autoSpaceDE w:val="0"/>
        <w:autoSpaceDN w:val="0"/>
        <w:adjustRightInd w:val="0"/>
        <w:snapToGrid w:val="0"/>
        <w:spacing w:line="360" w:lineRule="auto"/>
        <w:jc w:val="left"/>
        <w:rPr>
          <w:rFonts w:ascii="宋体" w:hAnsi="宋体" w:cs="MingLiU"/>
          <w:color w:val="auto"/>
          <w:kern w:val="0"/>
          <w:sz w:val="24"/>
          <w:highlight w:val="none"/>
        </w:rPr>
      </w:pPr>
    </w:p>
    <w:p w14:paraId="26AA2A80">
      <w:pPr>
        <w:autoSpaceDE w:val="0"/>
        <w:autoSpaceDN w:val="0"/>
        <w:adjustRightInd w:val="0"/>
        <w:snapToGrid w:val="0"/>
        <w:spacing w:line="360" w:lineRule="auto"/>
        <w:jc w:val="left"/>
        <w:rPr>
          <w:rFonts w:ascii="宋体" w:hAnsi="宋体" w:cs="MingLiU"/>
          <w:color w:val="auto"/>
          <w:kern w:val="0"/>
          <w:sz w:val="24"/>
          <w:highlight w:val="none"/>
        </w:rPr>
      </w:pPr>
    </w:p>
    <w:p w14:paraId="21A5C0B0">
      <w:pPr>
        <w:autoSpaceDE w:val="0"/>
        <w:autoSpaceDN w:val="0"/>
        <w:adjustRightInd w:val="0"/>
        <w:snapToGrid w:val="0"/>
        <w:spacing w:line="360" w:lineRule="auto"/>
        <w:jc w:val="left"/>
        <w:rPr>
          <w:rFonts w:ascii="宋体" w:hAnsi="宋体" w:cs="MingLiU"/>
          <w:color w:val="auto"/>
          <w:kern w:val="0"/>
          <w:sz w:val="24"/>
          <w:highlight w:val="none"/>
        </w:rPr>
      </w:pPr>
    </w:p>
    <w:p w14:paraId="471FF8E7">
      <w:pPr>
        <w:autoSpaceDE w:val="0"/>
        <w:autoSpaceDN w:val="0"/>
        <w:adjustRightInd w:val="0"/>
        <w:snapToGrid w:val="0"/>
        <w:spacing w:line="360" w:lineRule="auto"/>
        <w:jc w:val="left"/>
        <w:rPr>
          <w:rFonts w:ascii="宋体" w:hAnsi="宋体" w:cs="MingLiU"/>
          <w:color w:val="auto"/>
          <w:kern w:val="0"/>
          <w:sz w:val="24"/>
          <w:highlight w:val="none"/>
        </w:rPr>
      </w:pPr>
    </w:p>
    <w:p w14:paraId="5595788C">
      <w:pPr>
        <w:autoSpaceDE w:val="0"/>
        <w:autoSpaceDN w:val="0"/>
        <w:adjustRightInd w:val="0"/>
        <w:snapToGrid w:val="0"/>
        <w:spacing w:line="360" w:lineRule="auto"/>
        <w:jc w:val="left"/>
        <w:rPr>
          <w:rFonts w:ascii="宋体" w:hAnsi="宋体" w:cs="MingLiU"/>
          <w:color w:val="auto"/>
          <w:kern w:val="0"/>
          <w:sz w:val="24"/>
          <w:highlight w:val="none"/>
        </w:rPr>
      </w:pPr>
    </w:p>
    <w:p w14:paraId="628E60D0">
      <w:pPr>
        <w:autoSpaceDE w:val="0"/>
        <w:autoSpaceDN w:val="0"/>
        <w:adjustRightInd w:val="0"/>
        <w:snapToGrid w:val="0"/>
        <w:spacing w:line="360" w:lineRule="auto"/>
        <w:jc w:val="left"/>
        <w:rPr>
          <w:rFonts w:ascii="宋体" w:hAnsi="宋体" w:cs="MingLiU"/>
          <w:color w:val="auto"/>
          <w:kern w:val="0"/>
          <w:sz w:val="24"/>
          <w:highlight w:val="none"/>
        </w:rPr>
      </w:pPr>
    </w:p>
    <w:p w14:paraId="1F8DF8D7">
      <w:pPr>
        <w:autoSpaceDE w:val="0"/>
        <w:autoSpaceDN w:val="0"/>
        <w:adjustRightInd w:val="0"/>
        <w:snapToGrid w:val="0"/>
        <w:spacing w:line="360" w:lineRule="auto"/>
        <w:jc w:val="left"/>
        <w:rPr>
          <w:rFonts w:ascii="宋体" w:hAnsi="宋体" w:cs="MingLiU"/>
          <w:color w:val="auto"/>
          <w:kern w:val="0"/>
          <w:sz w:val="24"/>
          <w:highlight w:val="none"/>
        </w:rPr>
      </w:pPr>
    </w:p>
    <w:p w14:paraId="3DDF20CB">
      <w:pPr>
        <w:autoSpaceDE w:val="0"/>
        <w:autoSpaceDN w:val="0"/>
        <w:adjustRightInd w:val="0"/>
        <w:snapToGrid w:val="0"/>
        <w:spacing w:line="360" w:lineRule="auto"/>
        <w:jc w:val="left"/>
        <w:rPr>
          <w:rFonts w:ascii="宋体" w:hAnsi="宋体" w:cs="MingLiU"/>
          <w:color w:val="auto"/>
          <w:kern w:val="0"/>
          <w:sz w:val="24"/>
          <w:highlight w:val="none"/>
        </w:rPr>
      </w:pPr>
    </w:p>
    <w:p w14:paraId="5A5EE97C">
      <w:pPr>
        <w:autoSpaceDE w:val="0"/>
        <w:autoSpaceDN w:val="0"/>
        <w:adjustRightInd w:val="0"/>
        <w:snapToGrid w:val="0"/>
        <w:spacing w:line="360" w:lineRule="auto"/>
        <w:jc w:val="left"/>
        <w:rPr>
          <w:rFonts w:ascii="宋体" w:hAnsi="宋体" w:cs="MingLiU"/>
          <w:color w:val="auto"/>
          <w:kern w:val="0"/>
          <w:sz w:val="24"/>
          <w:highlight w:val="none"/>
        </w:rPr>
      </w:pPr>
    </w:p>
    <w:p w14:paraId="059D2A10">
      <w:pPr>
        <w:autoSpaceDE w:val="0"/>
        <w:autoSpaceDN w:val="0"/>
        <w:adjustRightInd w:val="0"/>
        <w:snapToGrid w:val="0"/>
        <w:spacing w:line="360" w:lineRule="auto"/>
        <w:jc w:val="left"/>
        <w:rPr>
          <w:rFonts w:ascii="宋体" w:hAnsi="宋体" w:cs="MingLiU"/>
          <w:color w:val="auto"/>
          <w:kern w:val="0"/>
          <w:sz w:val="24"/>
          <w:highlight w:val="none"/>
        </w:rPr>
      </w:pPr>
    </w:p>
    <w:p w14:paraId="465EA073">
      <w:pPr>
        <w:autoSpaceDE w:val="0"/>
        <w:autoSpaceDN w:val="0"/>
        <w:adjustRightInd w:val="0"/>
        <w:snapToGrid w:val="0"/>
        <w:spacing w:line="360" w:lineRule="auto"/>
        <w:jc w:val="left"/>
        <w:rPr>
          <w:rFonts w:ascii="宋体" w:hAnsi="宋体" w:cs="MingLiU"/>
          <w:color w:val="auto"/>
          <w:kern w:val="0"/>
          <w:sz w:val="24"/>
          <w:highlight w:val="none"/>
        </w:rPr>
      </w:pPr>
    </w:p>
    <w:p w14:paraId="5D4330B9">
      <w:pPr>
        <w:autoSpaceDE w:val="0"/>
        <w:autoSpaceDN w:val="0"/>
        <w:adjustRightInd w:val="0"/>
        <w:snapToGrid w:val="0"/>
        <w:spacing w:line="360" w:lineRule="auto"/>
        <w:jc w:val="left"/>
        <w:rPr>
          <w:rFonts w:ascii="宋体" w:hAnsi="宋体" w:cs="MingLiU"/>
          <w:color w:val="auto"/>
          <w:kern w:val="0"/>
          <w:sz w:val="24"/>
          <w:highlight w:val="none"/>
        </w:rPr>
      </w:pPr>
    </w:p>
    <w:p w14:paraId="38443A1A">
      <w:pPr>
        <w:autoSpaceDE w:val="0"/>
        <w:autoSpaceDN w:val="0"/>
        <w:adjustRightInd w:val="0"/>
        <w:snapToGrid w:val="0"/>
        <w:spacing w:line="360" w:lineRule="auto"/>
        <w:jc w:val="left"/>
        <w:rPr>
          <w:rFonts w:ascii="宋体" w:hAnsi="宋体" w:cs="MingLiU"/>
          <w:color w:val="auto"/>
          <w:kern w:val="0"/>
          <w:sz w:val="24"/>
          <w:highlight w:val="none"/>
        </w:rPr>
      </w:pPr>
    </w:p>
    <w:p w14:paraId="26FD3FD4">
      <w:pPr>
        <w:autoSpaceDE w:val="0"/>
        <w:autoSpaceDN w:val="0"/>
        <w:adjustRightInd w:val="0"/>
        <w:snapToGrid w:val="0"/>
        <w:spacing w:line="360" w:lineRule="auto"/>
        <w:jc w:val="left"/>
        <w:rPr>
          <w:rFonts w:ascii="宋体" w:hAnsi="宋体" w:cs="MingLiU"/>
          <w:color w:val="auto"/>
          <w:kern w:val="0"/>
          <w:sz w:val="24"/>
          <w:highlight w:val="none"/>
        </w:rPr>
      </w:pPr>
    </w:p>
    <w:p w14:paraId="565D5437">
      <w:pPr>
        <w:autoSpaceDE w:val="0"/>
        <w:autoSpaceDN w:val="0"/>
        <w:adjustRightInd w:val="0"/>
        <w:snapToGrid w:val="0"/>
        <w:spacing w:line="360" w:lineRule="auto"/>
        <w:jc w:val="left"/>
        <w:rPr>
          <w:rFonts w:ascii="宋体" w:hAnsi="宋体" w:cs="MingLiU"/>
          <w:color w:val="auto"/>
          <w:kern w:val="0"/>
          <w:sz w:val="24"/>
          <w:highlight w:val="none"/>
        </w:rPr>
      </w:pPr>
    </w:p>
    <w:p w14:paraId="4700FB85">
      <w:pPr>
        <w:autoSpaceDE w:val="0"/>
        <w:autoSpaceDN w:val="0"/>
        <w:adjustRightInd w:val="0"/>
        <w:snapToGrid w:val="0"/>
        <w:spacing w:line="360" w:lineRule="auto"/>
        <w:jc w:val="left"/>
        <w:rPr>
          <w:rFonts w:ascii="宋体" w:hAnsi="宋体" w:cs="MingLiU"/>
          <w:color w:val="auto"/>
          <w:kern w:val="0"/>
          <w:sz w:val="24"/>
          <w:highlight w:val="none"/>
        </w:rPr>
      </w:pPr>
    </w:p>
    <w:p w14:paraId="6022C07E">
      <w:pPr>
        <w:pStyle w:val="5"/>
        <w:jc w:val="center"/>
        <w:rPr>
          <w:rFonts w:ascii="宋体" w:hAnsi="宋体"/>
          <w:color w:val="auto"/>
          <w:sz w:val="28"/>
          <w:highlight w:val="none"/>
        </w:rPr>
      </w:pPr>
      <w:bookmarkStart w:id="2999" w:name="_Toc277082654"/>
      <w:bookmarkStart w:id="3000" w:name="_Toc29998"/>
      <w:bookmarkStart w:id="3001" w:name="_Toc11108"/>
      <w:bookmarkStart w:id="3002" w:name="_Toc16000479"/>
      <w:bookmarkStart w:id="3003" w:name="_Toc2275"/>
      <w:bookmarkStart w:id="3004" w:name="_Toc224103508"/>
      <w:bookmarkStart w:id="3005" w:name="_Toc287607880"/>
      <w:bookmarkStart w:id="3006" w:name="_Toc287620827"/>
      <w:r>
        <w:rPr>
          <w:rFonts w:hint="eastAsia" w:ascii="宋体" w:hAnsi="宋体"/>
          <w:color w:val="auto"/>
          <w:sz w:val="28"/>
          <w:highlight w:val="none"/>
        </w:rPr>
        <w:t>附表五：施工总平面图</w:t>
      </w:r>
      <w:bookmarkEnd w:id="2999"/>
      <w:bookmarkEnd w:id="3000"/>
      <w:bookmarkEnd w:id="3001"/>
      <w:bookmarkEnd w:id="3002"/>
      <w:bookmarkEnd w:id="3003"/>
      <w:bookmarkEnd w:id="3004"/>
      <w:bookmarkEnd w:id="3005"/>
      <w:bookmarkEnd w:id="3006"/>
    </w:p>
    <w:p w14:paraId="6AA84D9B">
      <w:pPr>
        <w:autoSpaceDE w:val="0"/>
        <w:autoSpaceDN w:val="0"/>
        <w:adjustRightInd w:val="0"/>
        <w:snapToGrid w:val="0"/>
        <w:spacing w:line="360" w:lineRule="auto"/>
        <w:jc w:val="left"/>
        <w:rPr>
          <w:rFonts w:ascii="宋体" w:hAnsi="宋体" w:cs="MingLiU"/>
          <w:color w:val="auto"/>
          <w:kern w:val="0"/>
          <w:szCs w:val="21"/>
          <w:highlight w:val="none"/>
        </w:rPr>
      </w:pPr>
    </w:p>
    <w:p w14:paraId="07610F87">
      <w:pPr>
        <w:autoSpaceDE w:val="0"/>
        <w:autoSpaceDN w:val="0"/>
        <w:adjustRightInd w:val="0"/>
        <w:snapToGrid w:val="0"/>
        <w:spacing w:line="360" w:lineRule="auto"/>
        <w:ind w:firstLine="424" w:firstLineChars="202"/>
        <w:jc w:val="left"/>
        <w:rPr>
          <w:rFonts w:ascii="宋体" w:hAnsi="宋体" w:cs="MingLiU"/>
          <w:color w:val="auto"/>
          <w:kern w:val="0"/>
          <w:szCs w:val="21"/>
          <w:highlight w:val="none"/>
        </w:rPr>
      </w:pPr>
      <w:r>
        <w:rPr>
          <w:rFonts w:hint="eastAsia" w:ascii="宋体" w:hAnsi="宋体" w:cs="MingLiU"/>
          <w:color w:val="auto"/>
          <w:kern w:val="0"/>
          <w:szCs w:val="21"/>
          <w:highlight w:val="none"/>
        </w:rPr>
        <w:t>比选申请人应递交一份施工总平面图</w:t>
      </w:r>
      <w:r>
        <w:rPr>
          <w:rFonts w:hint="eastAsia" w:ascii="宋体" w:hAnsi="宋体" w:cs="MingLiU"/>
          <w:color w:val="auto"/>
          <w:spacing w:val="-47"/>
          <w:kern w:val="0"/>
          <w:szCs w:val="21"/>
          <w:highlight w:val="none"/>
        </w:rPr>
        <w:t>，</w:t>
      </w:r>
      <w:r>
        <w:rPr>
          <w:rFonts w:hint="eastAsia" w:ascii="宋体" w:hAnsi="宋体" w:cs="MingLiU"/>
          <w:color w:val="auto"/>
          <w:kern w:val="0"/>
          <w:szCs w:val="21"/>
          <w:highlight w:val="none"/>
        </w:rPr>
        <w:t>绘出现场临时设施布置图表并附文字说明</w:t>
      </w:r>
      <w:r>
        <w:rPr>
          <w:rFonts w:hint="eastAsia" w:ascii="宋体" w:hAnsi="宋体" w:cs="MingLiU"/>
          <w:color w:val="auto"/>
          <w:spacing w:val="-47"/>
          <w:kern w:val="0"/>
          <w:szCs w:val="21"/>
          <w:highlight w:val="none"/>
        </w:rPr>
        <w:t>，</w:t>
      </w:r>
      <w:r>
        <w:rPr>
          <w:rFonts w:hint="eastAsia" w:ascii="宋体" w:hAnsi="宋体" w:cs="MingLiU"/>
          <w:color w:val="auto"/>
          <w:kern w:val="0"/>
          <w:szCs w:val="21"/>
          <w:highlight w:val="none"/>
        </w:rPr>
        <w:t>说明临时设施</w:t>
      </w:r>
      <w:r>
        <w:rPr>
          <w:rFonts w:hint="eastAsia" w:ascii="宋体" w:hAnsi="宋体" w:cs="MingLiU"/>
          <w:color w:val="auto"/>
          <w:spacing w:val="-11"/>
          <w:kern w:val="0"/>
          <w:szCs w:val="21"/>
          <w:highlight w:val="none"/>
        </w:rPr>
        <w:t>、</w:t>
      </w:r>
      <w:r>
        <w:rPr>
          <w:rFonts w:hint="eastAsia" w:ascii="宋体" w:hAnsi="宋体" w:cs="MingLiU"/>
          <w:color w:val="auto"/>
          <w:kern w:val="0"/>
          <w:szCs w:val="21"/>
          <w:highlight w:val="none"/>
        </w:rPr>
        <w:t>加工车间</w:t>
      </w:r>
      <w:r>
        <w:rPr>
          <w:rFonts w:hint="eastAsia" w:ascii="宋体" w:hAnsi="宋体" w:cs="MingLiU"/>
          <w:color w:val="auto"/>
          <w:spacing w:val="-11"/>
          <w:kern w:val="0"/>
          <w:szCs w:val="21"/>
          <w:highlight w:val="none"/>
        </w:rPr>
        <w:t>、</w:t>
      </w:r>
      <w:r>
        <w:rPr>
          <w:rFonts w:hint="eastAsia" w:ascii="宋体" w:hAnsi="宋体" w:cs="MingLiU"/>
          <w:color w:val="auto"/>
          <w:kern w:val="0"/>
          <w:szCs w:val="21"/>
          <w:highlight w:val="none"/>
        </w:rPr>
        <w:t>现场办公</w:t>
      </w:r>
      <w:r>
        <w:rPr>
          <w:rFonts w:hint="eastAsia" w:ascii="宋体" w:hAnsi="宋体" w:cs="MingLiU"/>
          <w:color w:val="auto"/>
          <w:spacing w:val="-11"/>
          <w:kern w:val="0"/>
          <w:szCs w:val="21"/>
          <w:highlight w:val="none"/>
        </w:rPr>
        <w:t>、</w:t>
      </w:r>
      <w:r>
        <w:rPr>
          <w:rFonts w:hint="eastAsia" w:ascii="宋体" w:hAnsi="宋体" w:cs="MingLiU"/>
          <w:color w:val="auto"/>
          <w:kern w:val="0"/>
          <w:szCs w:val="21"/>
          <w:highlight w:val="none"/>
        </w:rPr>
        <w:t>设备及仓储</w:t>
      </w:r>
      <w:r>
        <w:rPr>
          <w:rFonts w:hint="eastAsia" w:ascii="宋体" w:hAnsi="宋体" w:cs="MingLiU"/>
          <w:color w:val="auto"/>
          <w:spacing w:val="-11"/>
          <w:kern w:val="0"/>
          <w:szCs w:val="21"/>
          <w:highlight w:val="none"/>
        </w:rPr>
        <w:t>、</w:t>
      </w:r>
      <w:r>
        <w:rPr>
          <w:rFonts w:hint="eastAsia" w:ascii="宋体" w:hAnsi="宋体" w:cs="MingLiU"/>
          <w:color w:val="auto"/>
          <w:kern w:val="0"/>
          <w:szCs w:val="21"/>
          <w:highlight w:val="none"/>
        </w:rPr>
        <w:t>供电</w:t>
      </w:r>
      <w:r>
        <w:rPr>
          <w:rFonts w:hint="eastAsia" w:ascii="宋体" w:hAnsi="宋体" w:cs="MingLiU"/>
          <w:color w:val="auto"/>
          <w:spacing w:val="-11"/>
          <w:kern w:val="0"/>
          <w:szCs w:val="21"/>
          <w:highlight w:val="none"/>
        </w:rPr>
        <w:t>、</w:t>
      </w:r>
      <w:r>
        <w:rPr>
          <w:rFonts w:hint="eastAsia" w:ascii="宋体" w:hAnsi="宋体" w:cs="MingLiU"/>
          <w:color w:val="auto"/>
          <w:kern w:val="0"/>
          <w:szCs w:val="21"/>
          <w:highlight w:val="none"/>
        </w:rPr>
        <w:t>供水</w:t>
      </w:r>
      <w:r>
        <w:rPr>
          <w:rFonts w:hint="eastAsia" w:ascii="宋体" w:hAnsi="宋体" w:cs="MingLiU"/>
          <w:color w:val="auto"/>
          <w:spacing w:val="-10"/>
          <w:kern w:val="0"/>
          <w:szCs w:val="21"/>
          <w:highlight w:val="none"/>
        </w:rPr>
        <w:t>、</w:t>
      </w:r>
      <w:r>
        <w:rPr>
          <w:rFonts w:hint="eastAsia" w:ascii="宋体" w:hAnsi="宋体" w:cs="MingLiU"/>
          <w:color w:val="auto"/>
          <w:kern w:val="0"/>
          <w:szCs w:val="21"/>
          <w:highlight w:val="none"/>
        </w:rPr>
        <w:t>卫生</w:t>
      </w:r>
      <w:r>
        <w:rPr>
          <w:rFonts w:hint="eastAsia" w:ascii="宋体" w:hAnsi="宋体" w:cs="MingLiU"/>
          <w:color w:val="auto"/>
          <w:spacing w:val="-11"/>
          <w:kern w:val="0"/>
          <w:szCs w:val="21"/>
          <w:highlight w:val="none"/>
        </w:rPr>
        <w:t>、</w:t>
      </w:r>
      <w:r>
        <w:rPr>
          <w:rFonts w:hint="eastAsia" w:ascii="宋体" w:hAnsi="宋体" w:cs="MingLiU"/>
          <w:color w:val="auto"/>
          <w:kern w:val="0"/>
          <w:szCs w:val="21"/>
          <w:highlight w:val="none"/>
        </w:rPr>
        <w:t>生活</w:t>
      </w:r>
      <w:r>
        <w:rPr>
          <w:rFonts w:hint="eastAsia" w:ascii="宋体" w:hAnsi="宋体" w:cs="MingLiU"/>
          <w:color w:val="auto"/>
          <w:spacing w:val="-11"/>
          <w:kern w:val="0"/>
          <w:szCs w:val="21"/>
          <w:highlight w:val="none"/>
        </w:rPr>
        <w:t>、</w:t>
      </w:r>
      <w:r>
        <w:rPr>
          <w:rFonts w:hint="eastAsia" w:ascii="宋体" w:hAnsi="宋体" w:cs="MingLiU"/>
          <w:color w:val="auto"/>
          <w:kern w:val="0"/>
          <w:szCs w:val="21"/>
          <w:highlight w:val="none"/>
        </w:rPr>
        <w:t>道路</w:t>
      </w:r>
      <w:r>
        <w:rPr>
          <w:rFonts w:hint="eastAsia" w:ascii="宋体" w:hAnsi="宋体" w:cs="MingLiU"/>
          <w:color w:val="auto"/>
          <w:spacing w:val="-11"/>
          <w:kern w:val="0"/>
          <w:szCs w:val="21"/>
          <w:highlight w:val="none"/>
        </w:rPr>
        <w:t>、</w:t>
      </w:r>
      <w:r>
        <w:rPr>
          <w:rFonts w:hint="eastAsia" w:ascii="宋体" w:hAnsi="宋体" w:cs="MingLiU"/>
          <w:color w:val="auto"/>
          <w:spacing w:val="1"/>
          <w:kern w:val="0"/>
          <w:szCs w:val="21"/>
          <w:highlight w:val="none"/>
        </w:rPr>
        <w:t>消</w:t>
      </w:r>
      <w:r>
        <w:rPr>
          <w:rFonts w:hint="eastAsia" w:ascii="宋体" w:hAnsi="宋体" w:cs="MingLiU"/>
          <w:color w:val="auto"/>
          <w:kern w:val="0"/>
          <w:szCs w:val="21"/>
          <w:highlight w:val="none"/>
        </w:rPr>
        <w:t>防等设施的情况和布置。</w:t>
      </w:r>
    </w:p>
    <w:p w14:paraId="7492B9BE">
      <w:pPr>
        <w:autoSpaceDE w:val="0"/>
        <w:autoSpaceDN w:val="0"/>
        <w:adjustRightInd w:val="0"/>
        <w:snapToGrid w:val="0"/>
        <w:spacing w:line="360" w:lineRule="auto"/>
        <w:jc w:val="left"/>
        <w:rPr>
          <w:rFonts w:ascii="宋体" w:hAnsi="宋体" w:cs="MingLiU"/>
          <w:color w:val="auto"/>
          <w:kern w:val="0"/>
          <w:szCs w:val="21"/>
          <w:highlight w:val="none"/>
        </w:rPr>
      </w:pPr>
    </w:p>
    <w:p w14:paraId="6BC29E84">
      <w:pPr>
        <w:autoSpaceDE w:val="0"/>
        <w:autoSpaceDN w:val="0"/>
        <w:adjustRightInd w:val="0"/>
        <w:snapToGrid w:val="0"/>
        <w:spacing w:line="360" w:lineRule="auto"/>
        <w:jc w:val="left"/>
        <w:rPr>
          <w:rFonts w:ascii="宋体" w:hAnsi="宋体" w:cs="MingLiU"/>
          <w:color w:val="auto"/>
          <w:kern w:val="0"/>
          <w:szCs w:val="21"/>
          <w:highlight w:val="none"/>
        </w:rPr>
      </w:pPr>
    </w:p>
    <w:p w14:paraId="540635C0">
      <w:pPr>
        <w:autoSpaceDE w:val="0"/>
        <w:autoSpaceDN w:val="0"/>
        <w:adjustRightInd w:val="0"/>
        <w:snapToGrid w:val="0"/>
        <w:spacing w:line="360" w:lineRule="auto"/>
        <w:jc w:val="left"/>
        <w:rPr>
          <w:rFonts w:ascii="宋体" w:hAnsi="宋体" w:cs="MingLiU"/>
          <w:color w:val="auto"/>
          <w:kern w:val="0"/>
          <w:szCs w:val="21"/>
          <w:highlight w:val="none"/>
        </w:rPr>
      </w:pPr>
    </w:p>
    <w:p w14:paraId="07E494ED">
      <w:pPr>
        <w:autoSpaceDE w:val="0"/>
        <w:autoSpaceDN w:val="0"/>
        <w:adjustRightInd w:val="0"/>
        <w:snapToGrid w:val="0"/>
        <w:spacing w:line="360" w:lineRule="auto"/>
        <w:jc w:val="left"/>
        <w:rPr>
          <w:rFonts w:ascii="宋体" w:hAnsi="宋体" w:cs="MingLiU"/>
          <w:color w:val="auto"/>
          <w:kern w:val="0"/>
          <w:szCs w:val="21"/>
          <w:highlight w:val="none"/>
        </w:rPr>
      </w:pPr>
    </w:p>
    <w:p w14:paraId="6D91ECF7">
      <w:pPr>
        <w:autoSpaceDE w:val="0"/>
        <w:autoSpaceDN w:val="0"/>
        <w:adjustRightInd w:val="0"/>
        <w:snapToGrid w:val="0"/>
        <w:spacing w:line="360" w:lineRule="auto"/>
        <w:jc w:val="left"/>
        <w:rPr>
          <w:rFonts w:ascii="宋体" w:hAnsi="宋体" w:cs="MingLiU"/>
          <w:color w:val="auto"/>
          <w:kern w:val="0"/>
          <w:szCs w:val="21"/>
          <w:highlight w:val="none"/>
        </w:rPr>
      </w:pPr>
    </w:p>
    <w:p w14:paraId="1A187CFE">
      <w:pPr>
        <w:autoSpaceDE w:val="0"/>
        <w:autoSpaceDN w:val="0"/>
        <w:adjustRightInd w:val="0"/>
        <w:snapToGrid w:val="0"/>
        <w:spacing w:line="360" w:lineRule="auto"/>
        <w:jc w:val="left"/>
        <w:rPr>
          <w:rFonts w:ascii="宋体" w:hAnsi="宋体" w:cs="MingLiU"/>
          <w:color w:val="auto"/>
          <w:kern w:val="0"/>
          <w:szCs w:val="21"/>
          <w:highlight w:val="none"/>
        </w:rPr>
      </w:pPr>
    </w:p>
    <w:p w14:paraId="664087E3">
      <w:pPr>
        <w:autoSpaceDE w:val="0"/>
        <w:autoSpaceDN w:val="0"/>
        <w:adjustRightInd w:val="0"/>
        <w:snapToGrid w:val="0"/>
        <w:spacing w:line="360" w:lineRule="auto"/>
        <w:jc w:val="left"/>
        <w:rPr>
          <w:rFonts w:ascii="宋体" w:hAnsi="宋体" w:cs="MingLiU"/>
          <w:color w:val="auto"/>
          <w:kern w:val="0"/>
          <w:szCs w:val="21"/>
          <w:highlight w:val="none"/>
        </w:rPr>
      </w:pPr>
    </w:p>
    <w:p w14:paraId="0AC0C141">
      <w:pPr>
        <w:autoSpaceDE w:val="0"/>
        <w:autoSpaceDN w:val="0"/>
        <w:adjustRightInd w:val="0"/>
        <w:snapToGrid w:val="0"/>
        <w:spacing w:line="360" w:lineRule="auto"/>
        <w:jc w:val="left"/>
        <w:rPr>
          <w:rFonts w:ascii="宋体" w:hAnsi="宋体" w:cs="MingLiU"/>
          <w:color w:val="auto"/>
          <w:kern w:val="0"/>
          <w:szCs w:val="21"/>
          <w:highlight w:val="none"/>
        </w:rPr>
      </w:pPr>
    </w:p>
    <w:p w14:paraId="1F59F9BC">
      <w:pPr>
        <w:autoSpaceDE w:val="0"/>
        <w:autoSpaceDN w:val="0"/>
        <w:adjustRightInd w:val="0"/>
        <w:snapToGrid w:val="0"/>
        <w:spacing w:line="360" w:lineRule="auto"/>
        <w:jc w:val="left"/>
        <w:rPr>
          <w:rFonts w:ascii="宋体" w:hAnsi="宋体" w:cs="MingLiU"/>
          <w:color w:val="auto"/>
          <w:kern w:val="0"/>
          <w:szCs w:val="21"/>
          <w:highlight w:val="none"/>
        </w:rPr>
      </w:pPr>
    </w:p>
    <w:p w14:paraId="07AA52BE">
      <w:pPr>
        <w:autoSpaceDE w:val="0"/>
        <w:autoSpaceDN w:val="0"/>
        <w:adjustRightInd w:val="0"/>
        <w:snapToGrid w:val="0"/>
        <w:spacing w:line="360" w:lineRule="auto"/>
        <w:jc w:val="left"/>
        <w:rPr>
          <w:rFonts w:ascii="宋体" w:hAnsi="宋体" w:cs="MingLiU"/>
          <w:color w:val="auto"/>
          <w:kern w:val="0"/>
          <w:szCs w:val="21"/>
          <w:highlight w:val="none"/>
        </w:rPr>
      </w:pPr>
    </w:p>
    <w:p w14:paraId="0CE16601">
      <w:pPr>
        <w:autoSpaceDE w:val="0"/>
        <w:autoSpaceDN w:val="0"/>
        <w:adjustRightInd w:val="0"/>
        <w:snapToGrid w:val="0"/>
        <w:spacing w:line="360" w:lineRule="auto"/>
        <w:jc w:val="left"/>
        <w:rPr>
          <w:rFonts w:ascii="宋体" w:hAnsi="宋体" w:cs="MingLiU"/>
          <w:color w:val="auto"/>
          <w:kern w:val="0"/>
          <w:szCs w:val="21"/>
          <w:highlight w:val="none"/>
        </w:rPr>
      </w:pPr>
    </w:p>
    <w:p w14:paraId="080ECAC3">
      <w:pPr>
        <w:autoSpaceDE w:val="0"/>
        <w:autoSpaceDN w:val="0"/>
        <w:adjustRightInd w:val="0"/>
        <w:snapToGrid w:val="0"/>
        <w:spacing w:line="360" w:lineRule="auto"/>
        <w:jc w:val="left"/>
        <w:rPr>
          <w:rFonts w:ascii="宋体" w:hAnsi="宋体" w:cs="MingLiU"/>
          <w:color w:val="auto"/>
          <w:kern w:val="0"/>
          <w:szCs w:val="21"/>
          <w:highlight w:val="none"/>
        </w:rPr>
      </w:pPr>
    </w:p>
    <w:p w14:paraId="26034FFB">
      <w:pPr>
        <w:autoSpaceDE w:val="0"/>
        <w:autoSpaceDN w:val="0"/>
        <w:adjustRightInd w:val="0"/>
        <w:snapToGrid w:val="0"/>
        <w:spacing w:line="360" w:lineRule="auto"/>
        <w:jc w:val="left"/>
        <w:rPr>
          <w:rFonts w:ascii="宋体" w:hAnsi="宋体" w:cs="MingLiU"/>
          <w:color w:val="auto"/>
          <w:kern w:val="0"/>
          <w:szCs w:val="21"/>
          <w:highlight w:val="none"/>
        </w:rPr>
      </w:pPr>
    </w:p>
    <w:p w14:paraId="573F561B">
      <w:pPr>
        <w:autoSpaceDE w:val="0"/>
        <w:autoSpaceDN w:val="0"/>
        <w:adjustRightInd w:val="0"/>
        <w:snapToGrid w:val="0"/>
        <w:spacing w:line="360" w:lineRule="auto"/>
        <w:jc w:val="left"/>
        <w:rPr>
          <w:rFonts w:ascii="宋体" w:hAnsi="宋体" w:cs="MingLiU"/>
          <w:color w:val="auto"/>
          <w:kern w:val="0"/>
          <w:szCs w:val="21"/>
          <w:highlight w:val="none"/>
        </w:rPr>
      </w:pPr>
    </w:p>
    <w:p w14:paraId="2177FD94">
      <w:pPr>
        <w:autoSpaceDE w:val="0"/>
        <w:autoSpaceDN w:val="0"/>
        <w:adjustRightInd w:val="0"/>
        <w:snapToGrid w:val="0"/>
        <w:spacing w:line="360" w:lineRule="auto"/>
        <w:jc w:val="left"/>
        <w:rPr>
          <w:rFonts w:ascii="宋体" w:hAnsi="宋体" w:cs="MingLiU"/>
          <w:color w:val="auto"/>
          <w:kern w:val="0"/>
          <w:szCs w:val="21"/>
          <w:highlight w:val="none"/>
        </w:rPr>
      </w:pPr>
    </w:p>
    <w:p w14:paraId="1B2619ED">
      <w:pPr>
        <w:autoSpaceDE w:val="0"/>
        <w:autoSpaceDN w:val="0"/>
        <w:adjustRightInd w:val="0"/>
        <w:snapToGrid w:val="0"/>
        <w:spacing w:line="360" w:lineRule="auto"/>
        <w:jc w:val="left"/>
        <w:rPr>
          <w:rFonts w:ascii="宋体" w:hAnsi="宋体" w:cs="MingLiU"/>
          <w:color w:val="auto"/>
          <w:kern w:val="0"/>
          <w:szCs w:val="21"/>
          <w:highlight w:val="none"/>
        </w:rPr>
      </w:pPr>
    </w:p>
    <w:p w14:paraId="265E6B0C">
      <w:pPr>
        <w:autoSpaceDE w:val="0"/>
        <w:autoSpaceDN w:val="0"/>
        <w:adjustRightInd w:val="0"/>
        <w:snapToGrid w:val="0"/>
        <w:spacing w:line="360" w:lineRule="auto"/>
        <w:jc w:val="left"/>
        <w:rPr>
          <w:rFonts w:ascii="宋体" w:hAnsi="宋体" w:cs="MingLiU"/>
          <w:color w:val="auto"/>
          <w:kern w:val="0"/>
          <w:szCs w:val="21"/>
          <w:highlight w:val="none"/>
        </w:rPr>
      </w:pPr>
    </w:p>
    <w:p w14:paraId="6CB52A0B">
      <w:pPr>
        <w:autoSpaceDE w:val="0"/>
        <w:autoSpaceDN w:val="0"/>
        <w:adjustRightInd w:val="0"/>
        <w:snapToGrid w:val="0"/>
        <w:spacing w:line="360" w:lineRule="auto"/>
        <w:jc w:val="left"/>
        <w:rPr>
          <w:rFonts w:ascii="宋体" w:hAnsi="宋体" w:cs="MingLiU"/>
          <w:color w:val="auto"/>
          <w:kern w:val="0"/>
          <w:szCs w:val="21"/>
          <w:highlight w:val="none"/>
        </w:rPr>
      </w:pPr>
    </w:p>
    <w:p w14:paraId="55F24719">
      <w:pPr>
        <w:autoSpaceDE w:val="0"/>
        <w:autoSpaceDN w:val="0"/>
        <w:adjustRightInd w:val="0"/>
        <w:snapToGrid w:val="0"/>
        <w:spacing w:line="360" w:lineRule="auto"/>
        <w:jc w:val="left"/>
        <w:rPr>
          <w:rFonts w:ascii="宋体" w:hAnsi="宋体" w:cs="MingLiU"/>
          <w:color w:val="auto"/>
          <w:kern w:val="0"/>
          <w:szCs w:val="21"/>
          <w:highlight w:val="none"/>
        </w:rPr>
      </w:pPr>
    </w:p>
    <w:p w14:paraId="5D2746D7">
      <w:pPr>
        <w:autoSpaceDE w:val="0"/>
        <w:autoSpaceDN w:val="0"/>
        <w:adjustRightInd w:val="0"/>
        <w:snapToGrid w:val="0"/>
        <w:spacing w:line="360" w:lineRule="auto"/>
        <w:jc w:val="left"/>
        <w:rPr>
          <w:rFonts w:ascii="宋体" w:hAnsi="宋体" w:cs="MingLiU"/>
          <w:color w:val="auto"/>
          <w:kern w:val="0"/>
          <w:szCs w:val="21"/>
          <w:highlight w:val="none"/>
        </w:rPr>
      </w:pPr>
    </w:p>
    <w:p w14:paraId="67ED5F20">
      <w:pPr>
        <w:autoSpaceDE w:val="0"/>
        <w:autoSpaceDN w:val="0"/>
        <w:adjustRightInd w:val="0"/>
        <w:snapToGrid w:val="0"/>
        <w:spacing w:line="360" w:lineRule="auto"/>
        <w:jc w:val="left"/>
        <w:rPr>
          <w:rFonts w:ascii="宋体" w:hAnsi="宋体" w:cs="MingLiU"/>
          <w:color w:val="auto"/>
          <w:kern w:val="0"/>
          <w:szCs w:val="21"/>
          <w:highlight w:val="none"/>
        </w:rPr>
      </w:pPr>
    </w:p>
    <w:p w14:paraId="7B5643FC">
      <w:pPr>
        <w:autoSpaceDE w:val="0"/>
        <w:autoSpaceDN w:val="0"/>
        <w:adjustRightInd w:val="0"/>
        <w:snapToGrid w:val="0"/>
        <w:spacing w:line="360" w:lineRule="auto"/>
        <w:jc w:val="left"/>
        <w:rPr>
          <w:rFonts w:ascii="宋体" w:hAnsi="宋体" w:cs="MingLiU"/>
          <w:color w:val="auto"/>
          <w:kern w:val="0"/>
          <w:szCs w:val="21"/>
          <w:highlight w:val="none"/>
        </w:rPr>
      </w:pPr>
    </w:p>
    <w:p w14:paraId="4BEDA14E">
      <w:pPr>
        <w:autoSpaceDE w:val="0"/>
        <w:autoSpaceDN w:val="0"/>
        <w:adjustRightInd w:val="0"/>
        <w:snapToGrid w:val="0"/>
        <w:spacing w:line="360" w:lineRule="auto"/>
        <w:jc w:val="left"/>
        <w:rPr>
          <w:rFonts w:ascii="宋体" w:hAnsi="宋体" w:cs="MingLiU"/>
          <w:color w:val="auto"/>
          <w:kern w:val="0"/>
          <w:szCs w:val="21"/>
          <w:highlight w:val="none"/>
        </w:rPr>
      </w:pPr>
    </w:p>
    <w:p w14:paraId="7EB65894">
      <w:pPr>
        <w:pStyle w:val="2"/>
        <w:rPr>
          <w:rFonts w:ascii="宋体" w:hAnsi="宋体" w:cs="MingLiU"/>
          <w:color w:val="auto"/>
          <w:kern w:val="0"/>
          <w:szCs w:val="21"/>
          <w:highlight w:val="none"/>
        </w:rPr>
      </w:pPr>
    </w:p>
    <w:p w14:paraId="59A06217">
      <w:pPr>
        <w:rPr>
          <w:color w:val="auto"/>
          <w:highlight w:val="none"/>
        </w:rPr>
      </w:pPr>
    </w:p>
    <w:p w14:paraId="303C2F97">
      <w:pPr>
        <w:autoSpaceDE w:val="0"/>
        <w:autoSpaceDN w:val="0"/>
        <w:adjustRightInd w:val="0"/>
        <w:snapToGrid w:val="0"/>
        <w:spacing w:line="360" w:lineRule="auto"/>
        <w:jc w:val="left"/>
        <w:rPr>
          <w:rFonts w:ascii="宋体" w:hAnsi="宋体" w:cs="MingLiU"/>
          <w:color w:val="auto"/>
          <w:kern w:val="0"/>
          <w:szCs w:val="21"/>
          <w:highlight w:val="none"/>
        </w:rPr>
      </w:pPr>
    </w:p>
    <w:p w14:paraId="0FE3C9FB">
      <w:pPr>
        <w:autoSpaceDE w:val="0"/>
        <w:autoSpaceDN w:val="0"/>
        <w:adjustRightInd w:val="0"/>
        <w:snapToGrid w:val="0"/>
        <w:spacing w:line="360" w:lineRule="auto"/>
        <w:jc w:val="left"/>
        <w:rPr>
          <w:rFonts w:ascii="宋体" w:hAnsi="宋体" w:cs="MingLiU"/>
          <w:color w:val="auto"/>
          <w:kern w:val="0"/>
          <w:szCs w:val="21"/>
          <w:highlight w:val="none"/>
        </w:rPr>
      </w:pPr>
    </w:p>
    <w:p w14:paraId="28855C39">
      <w:pPr>
        <w:autoSpaceDE w:val="0"/>
        <w:autoSpaceDN w:val="0"/>
        <w:adjustRightInd w:val="0"/>
        <w:snapToGrid w:val="0"/>
        <w:spacing w:line="360" w:lineRule="auto"/>
        <w:jc w:val="left"/>
        <w:rPr>
          <w:rFonts w:ascii="宋体" w:hAnsi="宋体" w:cs="MingLiU"/>
          <w:color w:val="auto"/>
          <w:kern w:val="0"/>
          <w:szCs w:val="21"/>
          <w:highlight w:val="none"/>
        </w:rPr>
      </w:pPr>
    </w:p>
    <w:p w14:paraId="08414D34">
      <w:pPr>
        <w:pStyle w:val="5"/>
        <w:jc w:val="center"/>
        <w:rPr>
          <w:rFonts w:ascii="宋体" w:hAnsi="宋体"/>
          <w:color w:val="auto"/>
          <w:sz w:val="28"/>
          <w:highlight w:val="none"/>
        </w:rPr>
      </w:pPr>
      <w:bookmarkStart w:id="3007" w:name="_Toc16000480"/>
      <w:bookmarkStart w:id="3008" w:name="_Toc277082655"/>
      <w:bookmarkStart w:id="3009" w:name="_Toc287607881"/>
      <w:bookmarkStart w:id="3010" w:name="_Toc17150"/>
      <w:bookmarkStart w:id="3011" w:name="_Toc224103509"/>
      <w:bookmarkStart w:id="3012" w:name="_Toc287620828"/>
      <w:bookmarkStart w:id="3013" w:name="_Toc5496"/>
      <w:bookmarkStart w:id="3014" w:name="_Toc25670"/>
      <w:r>
        <w:rPr>
          <w:rFonts w:hint="eastAsia" w:ascii="宋体" w:hAnsi="宋体"/>
          <w:color w:val="auto"/>
          <w:sz w:val="28"/>
          <w:highlight w:val="none"/>
        </w:rPr>
        <w:t>附表六：临时用地表</w:t>
      </w:r>
      <w:bookmarkEnd w:id="3007"/>
      <w:bookmarkEnd w:id="3008"/>
      <w:bookmarkEnd w:id="3009"/>
      <w:bookmarkEnd w:id="3010"/>
      <w:bookmarkEnd w:id="3011"/>
      <w:bookmarkEnd w:id="3012"/>
      <w:bookmarkEnd w:id="3013"/>
      <w:bookmarkEnd w:id="3014"/>
    </w:p>
    <w:p w14:paraId="1FDFAA14">
      <w:pPr>
        <w:rPr>
          <w:rFonts w:ascii="宋体" w:hAnsi="宋体"/>
          <w:color w:val="auto"/>
          <w:highlight w:val="none"/>
        </w:rPr>
      </w:pPr>
    </w:p>
    <w:tbl>
      <w:tblPr>
        <w:tblStyle w:val="46"/>
        <w:tblW w:w="8523" w:type="dxa"/>
        <w:tblInd w:w="112" w:type="dxa"/>
        <w:tblLayout w:type="fixed"/>
        <w:tblCellMar>
          <w:top w:w="0" w:type="dxa"/>
          <w:left w:w="0" w:type="dxa"/>
          <w:bottom w:w="0" w:type="dxa"/>
          <w:right w:w="0" w:type="dxa"/>
        </w:tblCellMar>
      </w:tblPr>
      <w:tblGrid>
        <w:gridCol w:w="2130"/>
        <w:gridCol w:w="2130"/>
        <w:gridCol w:w="2131"/>
        <w:gridCol w:w="2132"/>
      </w:tblGrid>
      <w:tr w14:paraId="2E3B0962">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vAlign w:val="center"/>
          </w:tcPr>
          <w:p w14:paraId="5BF19F73">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用途</w:t>
            </w:r>
          </w:p>
        </w:tc>
        <w:tc>
          <w:tcPr>
            <w:tcW w:w="2130" w:type="dxa"/>
            <w:tcBorders>
              <w:top w:val="single" w:color="000000" w:sz="4" w:space="0"/>
              <w:left w:val="single" w:color="000000" w:sz="4" w:space="0"/>
              <w:bottom w:val="single" w:color="000000" w:sz="4" w:space="0"/>
              <w:right w:val="single" w:color="000000" w:sz="4" w:space="0"/>
            </w:tcBorders>
            <w:vAlign w:val="center"/>
          </w:tcPr>
          <w:p w14:paraId="417077CF">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面积（平</w:t>
            </w:r>
            <w:r>
              <w:rPr>
                <w:rFonts w:hint="eastAsia" w:ascii="宋体" w:hAnsi="宋体" w:cs="MingLiU"/>
                <w:color w:val="auto"/>
                <w:spacing w:val="-1"/>
                <w:kern w:val="0"/>
                <w:szCs w:val="21"/>
                <w:highlight w:val="none"/>
              </w:rPr>
              <w:t>方</w:t>
            </w:r>
            <w:r>
              <w:rPr>
                <w:rFonts w:hint="eastAsia" w:ascii="宋体" w:hAnsi="宋体" w:cs="MingLiU"/>
                <w:color w:val="auto"/>
                <w:kern w:val="0"/>
                <w:szCs w:val="21"/>
                <w:highlight w:val="none"/>
              </w:rPr>
              <w:t>米）</w:t>
            </w:r>
          </w:p>
        </w:tc>
        <w:tc>
          <w:tcPr>
            <w:tcW w:w="2131" w:type="dxa"/>
            <w:tcBorders>
              <w:top w:val="single" w:color="000000" w:sz="4" w:space="0"/>
              <w:left w:val="single" w:color="000000" w:sz="4" w:space="0"/>
              <w:bottom w:val="single" w:color="000000" w:sz="4" w:space="0"/>
              <w:right w:val="single" w:color="000000" w:sz="4" w:space="0"/>
            </w:tcBorders>
            <w:vAlign w:val="center"/>
          </w:tcPr>
          <w:p w14:paraId="28DD5E39">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位置</w:t>
            </w:r>
          </w:p>
        </w:tc>
        <w:tc>
          <w:tcPr>
            <w:tcW w:w="2132" w:type="dxa"/>
            <w:tcBorders>
              <w:top w:val="single" w:color="000000" w:sz="4" w:space="0"/>
              <w:left w:val="single" w:color="000000" w:sz="4" w:space="0"/>
              <w:bottom w:val="single" w:color="000000" w:sz="4" w:space="0"/>
              <w:right w:val="single" w:color="000000" w:sz="4" w:space="0"/>
            </w:tcBorders>
            <w:vAlign w:val="center"/>
          </w:tcPr>
          <w:p w14:paraId="6337E827">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需用时间</w:t>
            </w:r>
          </w:p>
        </w:tc>
      </w:tr>
      <w:tr w14:paraId="3C6260A3">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15BE425A">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2C24C3E6">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3AEEB6B8">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38CDFE1F">
            <w:pPr>
              <w:autoSpaceDE w:val="0"/>
              <w:autoSpaceDN w:val="0"/>
              <w:adjustRightInd w:val="0"/>
              <w:snapToGrid w:val="0"/>
              <w:spacing w:line="360" w:lineRule="auto"/>
              <w:jc w:val="left"/>
              <w:rPr>
                <w:rFonts w:ascii="宋体" w:hAnsi="宋体"/>
                <w:color w:val="auto"/>
                <w:kern w:val="0"/>
                <w:sz w:val="24"/>
                <w:highlight w:val="none"/>
              </w:rPr>
            </w:pPr>
          </w:p>
        </w:tc>
      </w:tr>
      <w:tr w14:paraId="0E4841A3">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2A82F813">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440608FB">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3F1EA8F1">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25172ABD">
            <w:pPr>
              <w:autoSpaceDE w:val="0"/>
              <w:autoSpaceDN w:val="0"/>
              <w:adjustRightInd w:val="0"/>
              <w:snapToGrid w:val="0"/>
              <w:spacing w:line="360" w:lineRule="auto"/>
              <w:jc w:val="left"/>
              <w:rPr>
                <w:rFonts w:ascii="宋体" w:hAnsi="宋体"/>
                <w:color w:val="auto"/>
                <w:kern w:val="0"/>
                <w:sz w:val="24"/>
                <w:highlight w:val="none"/>
              </w:rPr>
            </w:pPr>
          </w:p>
        </w:tc>
      </w:tr>
      <w:tr w14:paraId="66A77186">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4B57D1A0">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672EF922">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582268A7">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5251CD18">
            <w:pPr>
              <w:autoSpaceDE w:val="0"/>
              <w:autoSpaceDN w:val="0"/>
              <w:adjustRightInd w:val="0"/>
              <w:snapToGrid w:val="0"/>
              <w:spacing w:line="360" w:lineRule="auto"/>
              <w:jc w:val="left"/>
              <w:rPr>
                <w:rFonts w:ascii="宋体" w:hAnsi="宋体"/>
                <w:color w:val="auto"/>
                <w:kern w:val="0"/>
                <w:sz w:val="24"/>
                <w:highlight w:val="none"/>
              </w:rPr>
            </w:pPr>
          </w:p>
        </w:tc>
      </w:tr>
      <w:tr w14:paraId="3E21582D">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18F99BD0">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3BBD29A8">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07D4BCE6">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53357E48">
            <w:pPr>
              <w:autoSpaceDE w:val="0"/>
              <w:autoSpaceDN w:val="0"/>
              <w:adjustRightInd w:val="0"/>
              <w:snapToGrid w:val="0"/>
              <w:spacing w:line="360" w:lineRule="auto"/>
              <w:jc w:val="left"/>
              <w:rPr>
                <w:rFonts w:ascii="宋体" w:hAnsi="宋体"/>
                <w:color w:val="auto"/>
                <w:kern w:val="0"/>
                <w:sz w:val="24"/>
                <w:highlight w:val="none"/>
              </w:rPr>
            </w:pPr>
          </w:p>
        </w:tc>
      </w:tr>
      <w:tr w14:paraId="5FC86792">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48BE7669">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0FC68246">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13D63863">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7F215A43">
            <w:pPr>
              <w:autoSpaceDE w:val="0"/>
              <w:autoSpaceDN w:val="0"/>
              <w:adjustRightInd w:val="0"/>
              <w:snapToGrid w:val="0"/>
              <w:spacing w:line="360" w:lineRule="auto"/>
              <w:jc w:val="left"/>
              <w:rPr>
                <w:rFonts w:ascii="宋体" w:hAnsi="宋体"/>
                <w:color w:val="auto"/>
                <w:kern w:val="0"/>
                <w:sz w:val="24"/>
                <w:highlight w:val="none"/>
              </w:rPr>
            </w:pPr>
          </w:p>
        </w:tc>
      </w:tr>
      <w:tr w14:paraId="14D829A0">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08625D75">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1AAA5F99">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378EB009">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767ECD46">
            <w:pPr>
              <w:autoSpaceDE w:val="0"/>
              <w:autoSpaceDN w:val="0"/>
              <w:adjustRightInd w:val="0"/>
              <w:snapToGrid w:val="0"/>
              <w:spacing w:line="360" w:lineRule="auto"/>
              <w:jc w:val="left"/>
              <w:rPr>
                <w:rFonts w:ascii="宋体" w:hAnsi="宋体"/>
                <w:color w:val="auto"/>
                <w:kern w:val="0"/>
                <w:sz w:val="24"/>
                <w:highlight w:val="none"/>
              </w:rPr>
            </w:pPr>
          </w:p>
        </w:tc>
      </w:tr>
      <w:tr w14:paraId="1A54C9F5">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5BB4AFF5">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4F3EC5B2">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6767F6B0">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5E333E4E">
            <w:pPr>
              <w:autoSpaceDE w:val="0"/>
              <w:autoSpaceDN w:val="0"/>
              <w:adjustRightInd w:val="0"/>
              <w:snapToGrid w:val="0"/>
              <w:spacing w:line="360" w:lineRule="auto"/>
              <w:jc w:val="left"/>
              <w:rPr>
                <w:rFonts w:ascii="宋体" w:hAnsi="宋体"/>
                <w:color w:val="auto"/>
                <w:kern w:val="0"/>
                <w:sz w:val="24"/>
                <w:highlight w:val="none"/>
              </w:rPr>
            </w:pPr>
          </w:p>
        </w:tc>
      </w:tr>
      <w:tr w14:paraId="33C0D585">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68EFCA27">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533016A4">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0BC4824C">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53B24A44">
            <w:pPr>
              <w:autoSpaceDE w:val="0"/>
              <w:autoSpaceDN w:val="0"/>
              <w:adjustRightInd w:val="0"/>
              <w:snapToGrid w:val="0"/>
              <w:spacing w:line="360" w:lineRule="auto"/>
              <w:jc w:val="left"/>
              <w:rPr>
                <w:rFonts w:ascii="宋体" w:hAnsi="宋体"/>
                <w:color w:val="auto"/>
                <w:kern w:val="0"/>
                <w:sz w:val="24"/>
                <w:highlight w:val="none"/>
              </w:rPr>
            </w:pPr>
          </w:p>
        </w:tc>
      </w:tr>
      <w:tr w14:paraId="727CF41F">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6413208B">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45CA7C82">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360BA8E2">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490F3B04">
            <w:pPr>
              <w:autoSpaceDE w:val="0"/>
              <w:autoSpaceDN w:val="0"/>
              <w:adjustRightInd w:val="0"/>
              <w:snapToGrid w:val="0"/>
              <w:spacing w:line="360" w:lineRule="auto"/>
              <w:jc w:val="left"/>
              <w:rPr>
                <w:rFonts w:ascii="宋体" w:hAnsi="宋体"/>
                <w:color w:val="auto"/>
                <w:kern w:val="0"/>
                <w:sz w:val="24"/>
                <w:highlight w:val="none"/>
              </w:rPr>
            </w:pPr>
          </w:p>
        </w:tc>
      </w:tr>
      <w:tr w14:paraId="6E34CE83">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2905B95D">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296F71A7">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716AC4A0">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794D7964">
            <w:pPr>
              <w:autoSpaceDE w:val="0"/>
              <w:autoSpaceDN w:val="0"/>
              <w:adjustRightInd w:val="0"/>
              <w:snapToGrid w:val="0"/>
              <w:spacing w:line="360" w:lineRule="auto"/>
              <w:jc w:val="left"/>
              <w:rPr>
                <w:rFonts w:ascii="宋体" w:hAnsi="宋体"/>
                <w:color w:val="auto"/>
                <w:kern w:val="0"/>
                <w:sz w:val="24"/>
                <w:highlight w:val="none"/>
              </w:rPr>
            </w:pPr>
          </w:p>
        </w:tc>
      </w:tr>
      <w:tr w14:paraId="06B404C0">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2292AA04">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45889435">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1905147A">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00F84C48">
            <w:pPr>
              <w:autoSpaceDE w:val="0"/>
              <w:autoSpaceDN w:val="0"/>
              <w:adjustRightInd w:val="0"/>
              <w:snapToGrid w:val="0"/>
              <w:spacing w:line="360" w:lineRule="auto"/>
              <w:jc w:val="left"/>
              <w:rPr>
                <w:rFonts w:ascii="宋体" w:hAnsi="宋体"/>
                <w:color w:val="auto"/>
                <w:kern w:val="0"/>
                <w:sz w:val="24"/>
                <w:highlight w:val="none"/>
              </w:rPr>
            </w:pPr>
          </w:p>
        </w:tc>
      </w:tr>
      <w:tr w14:paraId="5AB39E51">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727FC986">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716014B1">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20BBC1B6">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1D5DE5D8">
            <w:pPr>
              <w:autoSpaceDE w:val="0"/>
              <w:autoSpaceDN w:val="0"/>
              <w:adjustRightInd w:val="0"/>
              <w:snapToGrid w:val="0"/>
              <w:spacing w:line="360" w:lineRule="auto"/>
              <w:jc w:val="left"/>
              <w:rPr>
                <w:rFonts w:ascii="宋体" w:hAnsi="宋体"/>
                <w:color w:val="auto"/>
                <w:kern w:val="0"/>
                <w:sz w:val="24"/>
                <w:highlight w:val="none"/>
              </w:rPr>
            </w:pPr>
          </w:p>
        </w:tc>
      </w:tr>
      <w:tr w14:paraId="0ECBBBE6">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5870D239">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64BFD9E7">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6F43C32B">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10136C2E">
            <w:pPr>
              <w:autoSpaceDE w:val="0"/>
              <w:autoSpaceDN w:val="0"/>
              <w:adjustRightInd w:val="0"/>
              <w:snapToGrid w:val="0"/>
              <w:spacing w:line="360" w:lineRule="auto"/>
              <w:jc w:val="left"/>
              <w:rPr>
                <w:rFonts w:ascii="宋体" w:hAnsi="宋体"/>
                <w:color w:val="auto"/>
                <w:kern w:val="0"/>
                <w:sz w:val="24"/>
                <w:highlight w:val="none"/>
              </w:rPr>
            </w:pPr>
          </w:p>
        </w:tc>
      </w:tr>
      <w:tr w14:paraId="225AC550">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0B7AD65F">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32CF1D0D">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78DA98F0">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0888B488">
            <w:pPr>
              <w:autoSpaceDE w:val="0"/>
              <w:autoSpaceDN w:val="0"/>
              <w:adjustRightInd w:val="0"/>
              <w:snapToGrid w:val="0"/>
              <w:spacing w:line="360" w:lineRule="auto"/>
              <w:jc w:val="left"/>
              <w:rPr>
                <w:rFonts w:ascii="宋体" w:hAnsi="宋体"/>
                <w:color w:val="auto"/>
                <w:kern w:val="0"/>
                <w:sz w:val="24"/>
                <w:highlight w:val="none"/>
              </w:rPr>
            </w:pPr>
          </w:p>
        </w:tc>
      </w:tr>
      <w:tr w14:paraId="39A31274">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4D98BBC2">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0ADDEFFC">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65316C17">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54A4825A">
            <w:pPr>
              <w:autoSpaceDE w:val="0"/>
              <w:autoSpaceDN w:val="0"/>
              <w:adjustRightInd w:val="0"/>
              <w:snapToGrid w:val="0"/>
              <w:spacing w:line="360" w:lineRule="auto"/>
              <w:jc w:val="left"/>
              <w:rPr>
                <w:rFonts w:ascii="宋体" w:hAnsi="宋体"/>
                <w:color w:val="auto"/>
                <w:kern w:val="0"/>
                <w:sz w:val="24"/>
                <w:highlight w:val="none"/>
              </w:rPr>
            </w:pPr>
          </w:p>
        </w:tc>
      </w:tr>
      <w:tr w14:paraId="5EE10807">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08A878A6">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79AC15D5">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2CCA15B4">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1418293B">
            <w:pPr>
              <w:autoSpaceDE w:val="0"/>
              <w:autoSpaceDN w:val="0"/>
              <w:adjustRightInd w:val="0"/>
              <w:snapToGrid w:val="0"/>
              <w:spacing w:line="360" w:lineRule="auto"/>
              <w:jc w:val="left"/>
              <w:rPr>
                <w:rFonts w:ascii="宋体" w:hAnsi="宋体"/>
                <w:color w:val="auto"/>
                <w:kern w:val="0"/>
                <w:sz w:val="24"/>
                <w:highlight w:val="none"/>
              </w:rPr>
            </w:pPr>
          </w:p>
        </w:tc>
      </w:tr>
      <w:tr w14:paraId="66D29181">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7EE01602">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6571E745">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64AD567D">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27D005D4">
            <w:pPr>
              <w:autoSpaceDE w:val="0"/>
              <w:autoSpaceDN w:val="0"/>
              <w:adjustRightInd w:val="0"/>
              <w:snapToGrid w:val="0"/>
              <w:spacing w:line="360" w:lineRule="auto"/>
              <w:jc w:val="left"/>
              <w:rPr>
                <w:rFonts w:ascii="宋体" w:hAnsi="宋体"/>
                <w:color w:val="auto"/>
                <w:kern w:val="0"/>
                <w:sz w:val="24"/>
                <w:highlight w:val="none"/>
              </w:rPr>
            </w:pPr>
          </w:p>
        </w:tc>
      </w:tr>
      <w:tr w14:paraId="59911118">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2382280B">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12D61506">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46478A0C">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1D18198B">
            <w:pPr>
              <w:autoSpaceDE w:val="0"/>
              <w:autoSpaceDN w:val="0"/>
              <w:adjustRightInd w:val="0"/>
              <w:snapToGrid w:val="0"/>
              <w:spacing w:line="360" w:lineRule="auto"/>
              <w:jc w:val="left"/>
              <w:rPr>
                <w:rFonts w:ascii="宋体" w:hAnsi="宋体"/>
                <w:color w:val="auto"/>
                <w:kern w:val="0"/>
                <w:sz w:val="24"/>
                <w:highlight w:val="none"/>
              </w:rPr>
            </w:pPr>
          </w:p>
        </w:tc>
      </w:tr>
      <w:tr w14:paraId="7756180A">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02487ED1">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098EE015">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02223D8C">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296738EA">
            <w:pPr>
              <w:autoSpaceDE w:val="0"/>
              <w:autoSpaceDN w:val="0"/>
              <w:adjustRightInd w:val="0"/>
              <w:snapToGrid w:val="0"/>
              <w:spacing w:line="360" w:lineRule="auto"/>
              <w:jc w:val="left"/>
              <w:rPr>
                <w:rFonts w:ascii="宋体" w:hAnsi="宋体"/>
                <w:color w:val="auto"/>
                <w:kern w:val="0"/>
                <w:sz w:val="24"/>
                <w:highlight w:val="none"/>
              </w:rPr>
            </w:pPr>
          </w:p>
        </w:tc>
      </w:tr>
      <w:tr w14:paraId="05F6DAD7">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07F27F39">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49688966">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6DABCDC0">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6FDE98CA">
            <w:pPr>
              <w:autoSpaceDE w:val="0"/>
              <w:autoSpaceDN w:val="0"/>
              <w:adjustRightInd w:val="0"/>
              <w:snapToGrid w:val="0"/>
              <w:spacing w:line="360" w:lineRule="auto"/>
              <w:jc w:val="left"/>
              <w:rPr>
                <w:rFonts w:ascii="宋体" w:hAnsi="宋体"/>
                <w:color w:val="auto"/>
                <w:kern w:val="0"/>
                <w:sz w:val="24"/>
                <w:highlight w:val="none"/>
              </w:rPr>
            </w:pPr>
          </w:p>
        </w:tc>
      </w:tr>
      <w:tr w14:paraId="5DDE1CA0">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2E36E238">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6011971C">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4ED77DA2">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47EC08A2">
            <w:pPr>
              <w:autoSpaceDE w:val="0"/>
              <w:autoSpaceDN w:val="0"/>
              <w:adjustRightInd w:val="0"/>
              <w:snapToGrid w:val="0"/>
              <w:spacing w:line="360" w:lineRule="auto"/>
              <w:jc w:val="left"/>
              <w:rPr>
                <w:rFonts w:ascii="宋体" w:hAnsi="宋体"/>
                <w:color w:val="auto"/>
                <w:kern w:val="0"/>
                <w:sz w:val="24"/>
                <w:highlight w:val="none"/>
              </w:rPr>
            </w:pPr>
          </w:p>
        </w:tc>
      </w:tr>
      <w:tr w14:paraId="2741D48B">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7B127264">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60B39A7D">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194125A0">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2249D245">
            <w:pPr>
              <w:autoSpaceDE w:val="0"/>
              <w:autoSpaceDN w:val="0"/>
              <w:adjustRightInd w:val="0"/>
              <w:snapToGrid w:val="0"/>
              <w:spacing w:line="360" w:lineRule="auto"/>
              <w:jc w:val="left"/>
              <w:rPr>
                <w:rFonts w:ascii="宋体" w:hAnsi="宋体"/>
                <w:color w:val="auto"/>
                <w:kern w:val="0"/>
                <w:sz w:val="24"/>
                <w:highlight w:val="none"/>
              </w:rPr>
            </w:pPr>
          </w:p>
        </w:tc>
      </w:tr>
      <w:tr w14:paraId="63B36B42">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29A01F03">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79B81AB6">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7EDE12A2">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4841A836">
            <w:pPr>
              <w:autoSpaceDE w:val="0"/>
              <w:autoSpaceDN w:val="0"/>
              <w:adjustRightInd w:val="0"/>
              <w:snapToGrid w:val="0"/>
              <w:spacing w:line="360" w:lineRule="auto"/>
              <w:jc w:val="left"/>
              <w:rPr>
                <w:rFonts w:ascii="宋体" w:hAnsi="宋体"/>
                <w:color w:val="auto"/>
                <w:kern w:val="0"/>
                <w:sz w:val="24"/>
                <w:highlight w:val="none"/>
              </w:rPr>
            </w:pPr>
          </w:p>
        </w:tc>
      </w:tr>
      <w:tr w14:paraId="27C0001F">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6D7FBED9">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16F2A106">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0B25DF4F">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0D538FF0">
            <w:pPr>
              <w:autoSpaceDE w:val="0"/>
              <w:autoSpaceDN w:val="0"/>
              <w:adjustRightInd w:val="0"/>
              <w:snapToGrid w:val="0"/>
              <w:spacing w:line="360" w:lineRule="auto"/>
              <w:jc w:val="left"/>
              <w:rPr>
                <w:rFonts w:ascii="宋体" w:hAnsi="宋体"/>
                <w:color w:val="auto"/>
                <w:kern w:val="0"/>
                <w:sz w:val="24"/>
                <w:highlight w:val="none"/>
              </w:rPr>
            </w:pPr>
          </w:p>
        </w:tc>
      </w:tr>
      <w:tr w14:paraId="100FE1ED">
        <w:tblPrEx>
          <w:tblCellMar>
            <w:top w:w="0" w:type="dxa"/>
            <w:left w:w="0" w:type="dxa"/>
            <w:bottom w:w="0" w:type="dxa"/>
            <w:right w:w="0" w:type="dxa"/>
          </w:tblCellMar>
        </w:tblPrEx>
        <w:trPr>
          <w:trHeight w:val="450" w:hRule="exact"/>
        </w:trPr>
        <w:tc>
          <w:tcPr>
            <w:tcW w:w="2130" w:type="dxa"/>
            <w:tcBorders>
              <w:top w:val="single" w:color="000000" w:sz="4" w:space="0"/>
              <w:left w:val="single" w:color="000000" w:sz="4" w:space="0"/>
              <w:bottom w:val="single" w:color="000000" w:sz="4" w:space="0"/>
              <w:right w:val="single" w:color="000000" w:sz="4" w:space="0"/>
            </w:tcBorders>
          </w:tcPr>
          <w:p w14:paraId="1E1AE78E">
            <w:pPr>
              <w:autoSpaceDE w:val="0"/>
              <w:autoSpaceDN w:val="0"/>
              <w:adjustRightInd w:val="0"/>
              <w:snapToGrid w:val="0"/>
              <w:spacing w:line="360" w:lineRule="auto"/>
              <w:jc w:val="left"/>
              <w:rPr>
                <w:rFonts w:ascii="宋体" w:hAnsi="宋体"/>
                <w:color w:val="auto"/>
                <w:kern w:val="0"/>
                <w:sz w:val="24"/>
                <w:highlight w:val="none"/>
              </w:rPr>
            </w:pPr>
          </w:p>
        </w:tc>
        <w:tc>
          <w:tcPr>
            <w:tcW w:w="2130" w:type="dxa"/>
            <w:tcBorders>
              <w:top w:val="single" w:color="000000" w:sz="4" w:space="0"/>
              <w:left w:val="single" w:color="000000" w:sz="4" w:space="0"/>
              <w:bottom w:val="single" w:color="000000" w:sz="4" w:space="0"/>
              <w:right w:val="single" w:color="000000" w:sz="4" w:space="0"/>
            </w:tcBorders>
          </w:tcPr>
          <w:p w14:paraId="0CDE3CF8">
            <w:pPr>
              <w:autoSpaceDE w:val="0"/>
              <w:autoSpaceDN w:val="0"/>
              <w:adjustRightInd w:val="0"/>
              <w:snapToGrid w:val="0"/>
              <w:spacing w:line="360" w:lineRule="auto"/>
              <w:jc w:val="left"/>
              <w:rPr>
                <w:rFonts w:ascii="宋体" w:hAnsi="宋体"/>
                <w:color w:val="auto"/>
                <w:kern w:val="0"/>
                <w:sz w:val="24"/>
                <w:highlight w:val="none"/>
              </w:rPr>
            </w:pPr>
          </w:p>
        </w:tc>
        <w:tc>
          <w:tcPr>
            <w:tcW w:w="2131" w:type="dxa"/>
            <w:tcBorders>
              <w:top w:val="single" w:color="000000" w:sz="4" w:space="0"/>
              <w:left w:val="single" w:color="000000" w:sz="4" w:space="0"/>
              <w:bottom w:val="single" w:color="000000" w:sz="4" w:space="0"/>
              <w:right w:val="single" w:color="000000" w:sz="4" w:space="0"/>
            </w:tcBorders>
          </w:tcPr>
          <w:p w14:paraId="17145B7B">
            <w:pPr>
              <w:autoSpaceDE w:val="0"/>
              <w:autoSpaceDN w:val="0"/>
              <w:adjustRightInd w:val="0"/>
              <w:snapToGrid w:val="0"/>
              <w:spacing w:line="360" w:lineRule="auto"/>
              <w:jc w:val="left"/>
              <w:rPr>
                <w:rFonts w:ascii="宋体" w:hAnsi="宋体"/>
                <w:color w:val="auto"/>
                <w:kern w:val="0"/>
                <w:sz w:val="24"/>
                <w:highlight w:val="none"/>
              </w:rPr>
            </w:pPr>
          </w:p>
        </w:tc>
        <w:tc>
          <w:tcPr>
            <w:tcW w:w="2132" w:type="dxa"/>
            <w:tcBorders>
              <w:top w:val="single" w:color="000000" w:sz="4" w:space="0"/>
              <w:left w:val="single" w:color="000000" w:sz="4" w:space="0"/>
              <w:bottom w:val="single" w:color="000000" w:sz="4" w:space="0"/>
              <w:right w:val="single" w:color="000000" w:sz="4" w:space="0"/>
            </w:tcBorders>
          </w:tcPr>
          <w:p w14:paraId="16DFC0D0">
            <w:pPr>
              <w:autoSpaceDE w:val="0"/>
              <w:autoSpaceDN w:val="0"/>
              <w:adjustRightInd w:val="0"/>
              <w:snapToGrid w:val="0"/>
              <w:spacing w:line="360" w:lineRule="auto"/>
              <w:jc w:val="left"/>
              <w:rPr>
                <w:rFonts w:ascii="宋体" w:hAnsi="宋体"/>
                <w:color w:val="auto"/>
                <w:kern w:val="0"/>
                <w:sz w:val="24"/>
                <w:highlight w:val="none"/>
              </w:rPr>
            </w:pPr>
          </w:p>
        </w:tc>
      </w:tr>
    </w:tbl>
    <w:p w14:paraId="4D786DEC">
      <w:pPr>
        <w:autoSpaceDE w:val="0"/>
        <w:autoSpaceDN w:val="0"/>
        <w:adjustRightInd w:val="0"/>
        <w:snapToGrid w:val="0"/>
        <w:spacing w:line="360" w:lineRule="auto"/>
        <w:jc w:val="left"/>
        <w:rPr>
          <w:rFonts w:ascii="宋体" w:hAnsi="宋体"/>
          <w:color w:val="auto"/>
          <w:kern w:val="0"/>
          <w:highlight w:val="none"/>
        </w:rPr>
      </w:pPr>
    </w:p>
    <w:p w14:paraId="6FA01B43">
      <w:pPr>
        <w:pStyle w:val="4"/>
        <w:jc w:val="center"/>
        <w:rPr>
          <w:rFonts w:ascii="宋体" w:hAnsi="宋体"/>
          <w:bCs w:val="0"/>
          <w:color w:val="auto"/>
          <w:highlight w:val="none"/>
        </w:rPr>
      </w:pPr>
      <w:bookmarkStart w:id="3015" w:name="_Toc19512"/>
      <w:bookmarkStart w:id="3016" w:name="_Toc16000481"/>
      <w:bookmarkStart w:id="3017" w:name="_Toc8739"/>
      <w:bookmarkStart w:id="3018" w:name="_Toc17045"/>
      <w:r>
        <w:rPr>
          <w:rFonts w:hint="eastAsia"/>
          <w:color w:val="auto"/>
          <w:highlight w:val="none"/>
        </w:rPr>
        <w:t>三、</w:t>
      </w:r>
      <w:bookmarkEnd w:id="2961"/>
      <w:bookmarkEnd w:id="2962"/>
      <w:bookmarkStart w:id="3019" w:name="_Toc277082656"/>
      <w:bookmarkStart w:id="3020" w:name="_Toc287607882"/>
      <w:bookmarkStart w:id="3021" w:name="_Toc224103510"/>
      <w:r>
        <w:rPr>
          <w:rFonts w:hint="eastAsia" w:ascii="宋体" w:hAnsi="宋体"/>
          <w:bCs w:val="0"/>
          <w:color w:val="auto"/>
          <w:highlight w:val="none"/>
        </w:rPr>
        <w:t>资格审查资料</w:t>
      </w:r>
      <w:bookmarkEnd w:id="2963"/>
      <w:bookmarkEnd w:id="2964"/>
      <w:bookmarkEnd w:id="2965"/>
      <w:bookmarkEnd w:id="2966"/>
      <w:bookmarkEnd w:id="3015"/>
      <w:bookmarkEnd w:id="3016"/>
      <w:bookmarkEnd w:id="3017"/>
      <w:bookmarkEnd w:id="3018"/>
      <w:bookmarkEnd w:id="3019"/>
      <w:bookmarkEnd w:id="3020"/>
      <w:bookmarkEnd w:id="3021"/>
    </w:p>
    <w:p w14:paraId="36450465">
      <w:pPr>
        <w:adjustRightInd w:val="0"/>
        <w:snapToGrid w:val="0"/>
        <w:spacing w:line="264" w:lineRule="auto"/>
        <w:rPr>
          <w:rFonts w:ascii="宋体" w:hAnsi="宋体"/>
          <w:color w:val="auto"/>
          <w:sz w:val="32"/>
          <w:szCs w:val="32"/>
          <w:highlight w:val="none"/>
        </w:rPr>
      </w:pPr>
    </w:p>
    <w:p w14:paraId="55C65AAA">
      <w:pPr>
        <w:adjustRightInd w:val="0"/>
        <w:snapToGrid w:val="0"/>
        <w:spacing w:line="264" w:lineRule="auto"/>
        <w:rPr>
          <w:rFonts w:ascii="宋体" w:hAnsi="宋体"/>
          <w:color w:val="auto"/>
          <w:sz w:val="32"/>
          <w:szCs w:val="32"/>
          <w:highlight w:val="none"/>
        </w:rPr>
      </w:pPr>
    </w:p>
    <w:p w14:paraId="1DBFF51F">
      <w:pPr>
        <w:rPr>
          <w:rFonts w:ascii="宋体" w:hAnsi="宋体"/>
          <w:color w:val="auto"/>
          <w:sz w:val="32"/>
          <w:szCs w:val="32"/>
          <w:highlight w:val="none"/>
        </w:rPr>
      </w:pPr>
    </w:p>
    <w:p w14:paraId="7DB2B304">
      <w:pPr>
        <w:rPr>
          <w:rFonts w:ascii="宋体" w:hAnsi="宋体"/>
          <w:color w:val="auto"/>
          <w:sz w:val="32"/>
          <w:szCs w:val="32"/>
          <w:highlight w:val="none"/>
        </w:rPr>
      </w:pPr>
    </w:p>
    <w:p w14:paraId="410CFF8B">
      <w:pPr>
        <w:rPr>
          <w:rFonts w:ascii="宋体" w:hAnsi="宋体"/>
          <w:color w:val="auto"/>
          <w:sz w:val="32"/>
          <w:szCs w:val="32"/>
          <w:highlight w:val="none"/>
        </w:rPr>
      </w:pPr>
    </w:p>
    <w:p w14:paraId="73E55787">
      <w:pPr>
        <w:rPr>
          <w:rFonts w:ascii="宋体" w:hAnsi="宋体"/>
          <w:color w:val="auto"/>
          <w:sz w:val="32"/>
          <w:szCs w:val="32"/>
          <w:highlight w:val="none"/>
        </w:rPr>
      </w:pPr>
    </w:p>
    <w:p w14:paraId="7D8E3EAE">
      <w:pPr>
        <w:rPr>
          <w:rFonts w:ascii="宋体" w:hAnsi="宋体"/>
          <w:color w:val="auto"/>
          <w:sz w:val="32"/>
          <w:szCs w:val="32"/>
          <w:highlight w:val="none"/>
        </w:rPr>
      </w:pPr>
    </w:p>
    <w:p w14:paraId="2A60A436">
      <w:pPr>
        <w:rPr>
          <w:rFonts w:ascii="宋体" w:hAnsi="宋体"/>
          <w:color w:val="auto"/>
          <w:sz w:val="32"/>
          <w:szCs w:val="32"/>
          <w:highlight w:val="none"/>
        </w:rPr>
      </w:pPr>
    </w:p>
    <w:p w14:paraId="31BF4895">
      <w:pPr>
        <w:rPr>
          <w:rFonts w:ascii="宋体" w:hAnsi="宋体"/>
          <w:color w:val="auto"/>
          <w:sz w:val="32"/>
          <w:szCs w:val="32"/>
          <w:highlight w:val="none"/>
        </w:rPr>
      </w:pPr>
    </w:p>
    <w:p w14:paraId="112D80BF">
      <w:pPr>
        <w:rPr>
          <w:rFonts w:ascii="宋体" w:hAnsi="宋体"/>
          <w:color w:val="auto"/>
          <w:sz w:val="32"/>
          <w:szCs w:val="32"/>
          <w:highlight w:val="none"/>
        </w:rPr>
      </w:pPr>
    </w:p>
    <w:p w14:paraId="2F3C0147">
      <w:pPr>
        <w:rPr>
          <w:rFonts w:ascii="宋体" w:hAnsi="宋体"/>
          <w:color w:val="auto"/>
          <w:sz w:val="32"/>
          <w:szCs w:val="32"/>
          <w:highlight w:val="none"/>
        </w:rPr>
      </w:pPr>
    </w:p>
    <w:p w14:paraId="13385A3F">
      <w:pPr>
        <w:rPr>
          <w:rFonts w:ascii="宋体" w:hAnsi="宋体"/>
          <w:color w:val="auto"/>
          <w:sz w:val="32"/>
          <w:szCs w:val="32"/>
          <w:highlight w:val="none"/>
        </w:rPr>
      </w:pPr>
    </w:p>
    <w:p w14:paraId="4FDC2CCB">
      <w:pPr>
        <w:rPr>
          <w:rFonts w:ascii="宋体" w:hAnsi="宋体"/>
          <w:color w:val="auto"/>
          <w:sz w:val="32"/>
          <w:szCs w:val="32"/>
          <w:highlight w:val="none"/>
        </w:rPr>
      </w:pPr>
    </w:p>
    <w:p w14:paraId="5C2A5CFF">
      <w:pPr>
        <w:rPr>
          <w:rFonts w:ascii="宋体" w:hAnsi="宋体"/>
          <w:color w:val="auto"/>
          <w:sz w:val="32"/>
          <w:szCs w:val="32"/>
          <w:highlight w:val="none"/>
        </w:rPr>
      </w:pPr>
    </w:p>
    <w:p w14:paraId="26A85CBC">
      <w:pPr>
        <w:rPr>
          <w:rFonts w:ascii="宋体" w:hAnsi="宋体"/>
          <w:color w:val="auto"/>
          <w:sz w:val="32"/>
          <w:szCs w:val="32"/>
          <w:highlight w:val="none"/>
        </w:rPr>
      </w:pPr>
    </w:p>
    <w:p w14:paraId="28E562D1">
      <w:pPr>
        <w:rPr>
          <w:rFonts w:ascii="宋体" w:hAnsi="宋体"/>
          <w:color w:val="auto"/>
          <w:sz w:val="32"/>
          <w:szCs w:val="32"/>
          <w:highlight w:val="none"/>
        </w:rPr>
      </w:pPr>
      <w:r>
        <w:rPr>
          <w:rFonts w:hint="eastAsia" w:ascii="宋体" w:hAnsi="宋体"/>
          <w:color w:val="auto"/>
          <w:sz w:val="32"/>
          <w:szCs w:val="32"/>
          <w:highlight w:val="none"/>
        </w:rPr>
        <w:br w:type="page"/>
      </w:r>
    </w:p>
    <w:p w14:paraId="4E95030C">
      <w:pPr>
        <w:tabs>
          <w:tab w:val="left" w:pos="2845"/>
          <w:tab w:val="left" w:pos="5940"/>
        </w:tabs>
        <w:autoSpaceDE w:val="0"/>
        <w:autoSpaceDN w:val="0"/>
        <w:adjustRightInd w:val="0"/>
        <w:snapToGrid w:val="0"/>
        <w:spacing w:line="360" w:lineRule="auto"/>
        <w:jc w:val="left"/>
        <w:rPr>
          <w:rFonts w:ascii="宋体" w:hAnsi="宋体" w:cs="MingLiU"/>
          <w:b/>
          <w:color w:val="auto"/>
          <w:kern w:val="0"/>
          <w:sz w:val="28"/>
          <w:szCs w:val="28"/>
          <w:highlight w:val="none"/>
        </w:rPr>
      </w:pPr>
      <w:r>
        <w:rPr>
          <w:rFonts w:hint="eastAsia" w:ascii="宋体" w:hAnsi="宋体"/>
          <w:b/>
          <w:color w:val="auto"/>
          <w:kern w:val="0"/>
          <w:sz w:val="28"/>
          <w:szCs w:val="28"/>
          <w:highlight w:val="none"/>
          <w:u w:val="single"/>
        </w:rPr>
        <w:tab/>
      </w:r>
      <w:r>
        <w:rPr>
          <w:rFonts w:hint="eastAsia" w:ascii="宋体" w:hAnsi="宋体"/>
          <w:b/>
          <w:color w:val="auto"/>
          <w:kern w:val="0"/>
          <w:sz w:val="28"/>
          <w:szCs w:val="28"/>
          <w:highlight w:val="none"/>
          <w:u w:val="single"/>
          <w:lang w:val="en-US" w:eastAsia="zh-CN"/>
        </w:rPr>
        <w:t xml:space="preserve">                          </w:t>
      </w:r>
      <w:r>
        <w:rPr>
          <w:rFonts w:hint="eastAsia" w:ascii="宋体" w:hAnsi="宋体" w:cs="MingLiU"/>
          <w:b/>
          <w:color w:val="auto"/>
          <w:w w:val="99"/>
          <w:kern w:val="0"/>
          <w:sz w:val="28"/>
          <w:szCs w:val="28"/>
          <w:highlight w:val="none"/>
        </w:rPr>
        <w:t>（项目名称</w:t>
      </w:r>
      <w:r>
        <w:rPr>
          <w:rFonts w:hint="eastAsia" w:ascii="宋体" w:hAnsi="宋体" w:cs="MingLiU"/>
          <w:b/>
          <w:color w:val="auto"/>
          <w:spacing w:val="1"/>
          <w:w w:val="99"/>
          <w:kern w:val="0"/>
          <w:sz w:val="28"/>
          <w:szCs w:val="28"/>
          <w:highlight w:val="none"/>
        </w:rPr>
        <w:t>）</w:t>
      </w:r>
      <w:r>
        <w:rPr>
          <w:rFonts w:hint="eastAsia" w:ascii="宋体" w:hAnsi="宋体" w:cs="MingLiU"/>
          <w:b/>
          <w:color w:val="auto"/>
          <w:w w:val="99"/>
          <w:kern w:val="0"/>
          <w:sz w:val="28"/>
          <w:szCs w:val="28"/>
          <w:highlight w:val="none"/>
        </w:rPr>
        <w:t>施工比选</w:t>
      </w:r>
    </w:p>
    <w:p w14:paraId="0B39AE1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6FE1A0B1">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7C67108">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比选申请文件</w:t>
      </w:r>
    </w:p>
    <w:p w14:paraId="6E959778">
      <w:pPr>
        <w:autoSpaceDE w:val="0"/>
        <w:autoSpaceDN w:val="0"/>
        <w:adjustRightInd w:val="0"/>
        <w:snapToGrid w:val="0"/>
        <w:spacing w:line="360" w:lineRule="auto"/>
        <w:jc w:val="left"/>
        <w:rPr>
          <w:rFonts w:ascii="宋体" w:hAnsi="宋体" w:cs="MingLiU"/>
          <w:color w:val="auto"/>
          <w:kern w:val="0"/>
          <w:sz w:val="16"/>
          <w:szCs w:val="16"/>
          <w:highlight w:val="none"/>
        </w:rPr>
      </w:pPr>
    </w:p>
    <w:p w14:paraId="6F24C6D9">
      <w:pPr>
        <w:autoSpaceDE w:val="0"/>
        <w:autoSpaceDN w:val="0"/>
        <w:adjustRightInd w:val="0"/>
        <w:snapToGrid w:val="0"/>
        <w:spacing w:line="360" w:lineRule="auto"/>
        <w:jc w:val="center"/>
        <w:rPr>
          <w:rFonts w:ascii="宋体" w:hAnsi="宋体" w:cs="MingLiU"/>
          <w:b/>
          <w:color w:val="auto"/>
          <w:kern w:val="0"/>
          <w:sz w:val="36"/>
          <w:szCs w:val="36"/>
          <w:highlight w:val="none"/>
        </w:rPr>
      </w:pPr>
      <w:r>
        <w:rPr>
          <w:rFonts w:hint="eastAsia" w:ascii="宋体" w:hAnsi="宋体" w:cs="MingLiU"/>
          <w:b/>
          <w:color w:val="auto"/>
          <w:kern w:val="0"/>
          <w:sz w:val="36"/>
          <w:szCs w:val="36"/>
          <w:highlight w:val="none"/>
        </w:rPr>
        <w:t>资格审查资料</w:t>
      </w:r>
    </w:p>
    <w:p w14:paraId="45410AE2">
      <w:pPr>
        <w:autoSpaceDE w:val="0"/>
        <w:autoSpaceDN w:val="0"/>
        <w:adjustRightInd w:val="0"/>
        <w:snapToGrid w:val="0"/>
        <w:spacing w:line="360" w:lineRule="auto"/>
        <w:jc w:val="left"/>
        <w:rPr>
          <w:rFonts w:ascii="宋体" w:hAnsi="宋体" w:cs="MingLiU"/>
          <w:color w:val="auto"/>
          <w:kern w:val="0"/>
          <w:sz w:val="20"/>
          <w:szCs w:val="20"/>
          <w:highlight w:val="none"/>
        </w:rPr>
      </w:pPr>
    </w:p>
    <w:p w14:paraId="6A2313A6">
      <w:pPr>
        <w:adjustRightInd w:val="0"/>
        <w:snapToGrid w:val="0"/>
        <w:spacing w:line="264" w:lineRule="auto"/>
        <w:ind w:firstLine="630" w:firstLineChars="300"/>
        <w:rPr>
          <w:rFonts w:ascii="宋体" w:hAnsi="宋体"/>
          <w:color w:val="auto"/>
          <w:szCs w:val="21"/>
          <w:highlight w:val="none"/>
        </w:rPr>
      </w:pPr>
    </w:p>
    <w:p w14:paraId="42CEE8F6">
      <w:pPr>
        <w:autoSpaceDE w:val="0"/>
        <w:autoSpaceDN w:val="0"/>
        <w:adjustRightInd w:val="0"/>
        <w:snapToGrid w:val="0"/>
        <w:spacing w:line="360" w:lineRule="auto"/>
        <w:jc w:val="left"/>
        <w:rPr>
          <w:rFonts w:ascii="宋体" w:hAnsi="宋体" w:cs="MingLiU"/>
          <w:color w:val="auto"/>
          <w:kern w:val="0"/>
          <w:sz w:val="20"/>
          <w:szCs w:val="20"/>
          <w:highlight w:val="none"/>
        </w:rPr>
      </w:pPr>
    </w:p>
    <w:p w14:paraId="2F3D7F15">
      <w:pPr>
        <w:autoSpaceDE w:val="0"/>
        <w:autoSpaceDN w:val="0"/>
        <w:adjustRightInd w:val="0"/>
        <w:snapToGrid w:val="0"/>
        <w:spacing w:line="360" w:lineRule="auto"/>
        <w:jc w:val="left"/>
        <w:rPr>
          <w:rFonts w:ascii="宋体" w:hAnsi="宋体" w:cs="MingLiU"/>
          <w:color w:val="auto"/>
          <w:kern w:val="0"/>
          <w:sz w:val="20"/>
          <w:szCs w:val="20"/>
          <w:highlight w:val="none"/>
        </w:rPr>
      </w:pPr>
    </w:p>
    <w:p w14:paraId="3750535E">
      <w:pPr>
        <w:autoSpaceDE w:val="0"/>
        <w:autoSpaceDN w:val="0"/>
        <w:adjustRightInd w:val="0"/>
        <w:snapToGrid w:val="0"/>
        <w:spacing w:line="360" w:lineRule="auto"/>
        <w:jc w:val="left"/>
        <w:rPr>
          <w:rFonts w:ascii="宋体" w:hAnsi="宋体" w:cs="MingLiU"/>
          <w:color w:val="auto"/>
          <w:kern w:val="0"/>
          <w:sz w:val="20"/>
          <w:szCs w:val="20"/>
          <w:highlight w:val="none"/>
        </w:rPr>
      </w:pPr>
    </w:p>
    <w:p w14:paraId="29E06544">
      <w:pPr>
        <w:autoSpaceDE w:val="0"/>
        <w:autoSpaceDN w:val="0"/>
        <w:adjustRightInd w:val="0"/>
        <w:snapToGrid w:val="0"/>
        <w:spacing w:line="360" w:lineRule="auto"/>
        <w:jc w:val="left"/>
        <w:rPr>
          <w:rFonts w:ascii="宋体" w:hAnsi="宋体" w:cs="MingLiU"/>
          <w:color w:val="auto"/>
          <w:kern w:val="0"/>
          <w:sz w:val="20"/>
          <w:szCs w:val="20"/>
          <w:highlight w:val="none"/>
        </w:rPr>
      </w:pPr>
    </w:p>
    <w:p w14:paraId="3CD01A48">
      <w:pPr>
        <w:autoSpaceDE w:val="0"/>
        <w:autoSpaceDN w:val="0"/>
        <w:adjustRightInd w:val="0"/>
        <w:snapToGrid w:val="0"/>
        <w:spacing w:line="360" w:lineRule="auto"/>
        <w:jc w:val="left"/>
        <w:rPr>
          <w:rFonts w:ascii="宋体" w:hAnsi="宋体" w:cs="MingLiU"/>
          <w:color w:val="auto"/>
          <w:kern w:val="0"/>
          <w:sz w:val="20"/>
          <w:szCs w:val="20"/>
          <w:highlight w:val="none"/>
        </w:rPr>
      </w:pPr>
    </w:p>
    <w:p w14:paraId="656DEDBB">
      <w:pPr>
        <w:autoSpaceDE w:val="0"/>
        <w:autoSpaceDN w:val="0"/>
        <w:adjustRightInd w:val="0"/>
        <w:snapToGrid w:val="0"/>
        <w:spacing w:line="360" w:lineRule="auto"/>
        <w:jc w:val="left"/>
        <w:rPr>
          <w:rFonts w:ascii="宋体" w:hAnsi="宋体" w:cs="MingLiU"/>
          <w:color w:val="auto"/>
          <w:kern w:val="0"/>
          <w:sz w:val="20"/>
          <w:szCs w:val="20"/>
          <w:highlight w:val="none"/>
        </w:rPr>
      </w:pPr>
    </w:p>
    <w:p w14:paraId="11B68C56">
      <w:pPr>
        <w:autoSpaceDE w:val="0"/>
        <w:autoSpaceDN w:val="0"/>
        <w:adjustRightInd w:val="0"/>
        <w:snapToGrid w:val="0"/>
        <w:spacing w:line="360" w:lineRule="auto"/>
        <w:jc w:val="left"/>
        <w:rPr>
          <w:rFonts w:ascii="宋体" w:hAnsi="宋体" w:cs="MingLiU"/>
          <w:color w:val="auto"/>
          <w:kern w:val="0"/>
          <w:sz w:val="20"/>
          <w:szCs w:val="20"/>
          <w:highlight w:val="none"/>
        </w:rPr>
      </w:pPr>
    </w:p>
    <w:p w14:paraId="47A6FEA4">
      <w:pPr>
        <w:autoSpaceDE w:val="0"/>
        <w:autoSpaceDN w:val="0"/>
        <w:adjustRightInd w:val="0"/>
        <w:snapToGrid w:val="0"/>
        <w:spacing w:line="360" w:lineRule="auto"/>
        <w:jc w:val="left"/>
        <w:rPr>
          <w:rFonts w:ascii="宋体" w:hAnsi="宋体" w:cs="MingLiU"/>
          <w:color w:val="auto"/>
          <w:kern w:val="0"/>
          <w:sz w:val="20"/>
          <w:szCs w:val="20"/>
          <w:highlight w:val="none"/>
        </w:rPr>
      </w:pPr>
    </w:p>
    <w:p w14:paraId="2AB28FA1">
      <w:pPr>
        <w:autoSpaceDE w:val="0"/>
        <w:autoSpaceDN w:val="0"/>
        <w:adjustRightInd w:val="0"/>
        <w:snapToGrid w:val="0"/>
        <w:spacing w:line="360" w:lineRule="auto"/>
        <w:jc w:val="left"/>
        <w:rPr>
          <w:rFonts w:ascii="宋体" w:hAnsi="宋体" w:cs="MingLiU"/>
          <w:color w:val="auto"/>
          <w:kern w:val="0"/>
          <w:sz w:val="20"/>
          <w:szCs w:val="20"/>
          <w:highlight w:val="none"/>
        </w:rPr>
      </w:pPr>
    </w:p>
    <w:p w14:paraId="3D16AB25">
      <w:pPr>
        <w:autoSpaceDE w:val="0"/>
        <w:autoSpaceDN w:val="0"/>
        <w:adjustRightInd w:val="0"/>
        <w:snapToGrid w:val="0"/>
        <w:spacing w:line="360" w:lineRule="auto"/>
        <w:jc w:val="left"/>
        <w:rPr>
          <w:rFonts w:ascii="宋体" w:hAnsi="宋体" w:cs="MingLiU"/>
          <w:color w:val="auto"/>
          <w:kern w:val="0"/>
          <w:sz w:val="20"/>
          <w:szCs w:val="20"/>
          <w:highlight w:val="none"/>
        </w:rPr>
      </w:pPr>
    </w:p>
    <w:p w14:paraId="167786B7">
      <w:pPr>
        <w:autoSpaceDE w:val="0"/>
        <w:autoSpaceDN w:val="0"/>
        <w:adjustRightInd w:val="0"/>
        <w:snapToGrid w:val="0"/>
        <w:spacing w:line="360" w:lineRule="auto"/>
        <w:jc w:val="left"/>
        <w:rPr>
          <w:rFonts w:ascii="宋体" w:hAnsi="宋体" w:cs="MingLiU"/>
          <w:color w:val="auto"/>
          <w:kern w:val="0"/>
          <w:sz w:val="20"/>
          <w:szCs w:val="20"/>
          <w:highlight w:val="none"/>
        </w:rPr>
      </w:pPr>
    </w:p>
    <w:p w14:paraId="1F22AAC3">
      <w:pPr>
        <w:autoSpaceDE w:val="0"/>
        <w:autoSpaceDN w:val="0"/>
        <w:adjustRightInd w:val="0"/>
        <w:snapToGrid w:val="0"/>
        <w:spacing w:line="360" w:lineRule="auto"/>
        <w:jc w:val="left"/>
        <w:rPr>
          <w:rFonts w:ascii="宋体" w:hAnsi="宋体" w:cs="MingLiU"/>
          <w:color w:val="auto"/>
          <w:kern w:val="0"/>
          <w:sz w:val="20"/>
          <w:szCs w:val="20"/>
          <w:highlight w:val="none"/>
        </w:rPr>
      </w:pPr>
    </w:p>
    <w:p w14:paraId="771B923C">
      <w:pPr>
        <w:autoSpaceDE w:val="0"/>
        <w:autoSpaceDN w:val="0"/>
        <w:adjustRightInd w:val="0"/>
        <w:snapToGrid w:val="0"/>
        <w:spacing w:line="360" w:lineRule="auto"/>
        <w:jc w:val="left"/>
        <w:rPr>
          <w:rFonts w:ascii="宋体" w:hAnsi="宋体" w:cs="MingLiU"/>
          <w:color w:val="auto"/>
          <w:kern w:val="0"/>
          <w:sz w:val="20"/>
          <w:szCs w:val="20"/>
          <w:highlight w:val="none"/>
        </w:rPr>
      </w:pPr>
    </w:p>
    <w:p w14:paraId="0B12DBAB">
      <w:pPr>
        <w:tabs>
          <w:tab w:val="left" w:pos="6080"/>
          <w:tab w:val="left" w:pos="6640"/>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cs="MingLiU"/>
          <w:b/>
          <w:color w:val="auto"/>
          <w:w w:val="99"/>
          <w:kern w:val="0"/>
          <w:sz w:val="28"/>
          <w:szCs w:val="28"/>
          <w:highlight w:val="none"/>
        </w:rPr>
        <w:t xml:space="preserve"> 比选申请人</w:t>
      </w:r>
      <w:r>
        <w:rPr>
          <w:rFonts w:hint="eastAsia" w:ascii="宋体" w:hAnsi="宋体" w:cs="MingLiU"/>
          <w:b/>
          <w:color w:val="auto"/>
          <w:spacing w:val="1"/>
          <w:w w:val="99"/>
          <w:kern w:val="0"/>
          <w:sz w:val="28"/>
          <w:szCs w:val="28"/>
          <w:highlight w:val="none"/>
        </w:rPr>
        <w:t>：</w:t>
      </w:r>
      <w:r>
        <w:rPr>
          <w:rFonts w:hint="eastAsia" w:ascii="宋体" w:hAnsi="宋体" w:cs="MingLiU"/>
          <w:b/>
          <w:color w:val="auto"/>
          <w:w w:val="198"/>
          <w:kern w:val="0"/>
          <w:sz w:val="28"/>
          <w:szCs w:val="28"/>
          <w:highlight w:val="none"/>
          <w:u w:val="single"/>
        </w:rPr>
        <w:t>　　　　　　</w:t>
      </w:r>
      <w:r>
        <w:rPr>
          <w:rFonts w:hint="eastAsia" w:ascii="宋体" w:hAnsi="宋体" w:cs="MingLiU"/>
          <w:b/>
          <w:color w:val="auto"/>
          <w:w w:val="99"/>
          <w:kern w:val="0"/>
          <w:sz w:val="28"/>
          <w:szCs w:val="28"/>
          <w:highlight w:val="none"/>
        </w:rPr>
        <w:t>（盖单位法人章）</w:t>
      </w:r>
    </w:p>
    <w:p w14:paraId="2DA8E6EE">
      <w:pPr>
        <w:tabs>
          <w:tab w:val="left" w:pos="6080"/>
          <w:tab w:val="left" w:pos="6640"/>
        </w:tabs>
        <w:autoSpaceDE w:val="0"/>
        <w:autoSpaceDN w:val="0"/>
        <w:adjustRightInd w:val="0"/>
        <w:snapToGrid w:val="0"/>
        <w:spacing w:line="360" w:lineRule="auto"/>
        <w:jc w:val="center"/>
        <w:rPr>
          <w:rFonts w:ascii="宋体" w:hAnsi="宋体" w:cs="MingLiU"/>
          <w:b/>
          <w:color w:val="auto"/>
          <w:kern w:val="0"/>
          <w:sz w:val="28"/>
          <w:szCs w:val="28"/>
          <w:highlight w:val="none"/>
        </w:rPr>
      </w:pPr>
      <w:r>
        <w:rPr>
          <w:rFonts w:hint="eastAsia" w:ascii="宋体" w:hAnsi="宋体" w:cs="MingLiU"/>
          <w:b/>
          <w:color w:val="auto"/>
          <w:w w:val="99"/>
          <w:kern w:val="0"/>
          <w:sz w:val="28"/>
          <w:szCs w:val="28"/>
          <w:highlight w:val="none"/>
        </w:rPr>
        <w:t>法定代表人或其委托代理人：</w:t>
      </w:r>
      <w:r>
        <w:rPr>
          <w:rFonts w:hint="eastAsia" w:ascii="宋体" w:hAnsi="宋体" w:cs="MingLiU"/>
          <w:b/>
          <w:color w:val="auto"/>
          <w:w w:val="198"/>
          <w:kern w:val="0"/>
          <w:sz w:val="28"/>
          <w:szCs w:val="28"/>
          <w:highlight w:val="none"/>
          <w:u w:val="single"/>
        </w:rPr>
        <w:t>　　　</w:t>
      </w:r>
      <w:r>
        <w:rPr>
          <w:rFonts w:hint="eastAsia" w:ascii="宋体" w:hAnsi="宋体" w:cs="MingLiU"/>
          <w:b/>
          <w:color w:val="auto"/>
          <w:w w:val="99"/>
          <w:kern w:val="0"/>
          <w:sz w:val="28"/>
          <w:szCs w:val="28"/>
          <w:highlight w:val="none"/>
        </w:rPr>
        <w:t>（签名）</w:t>
      </w:r>
    </w:p>
    <w:p w14:paraId="2C71B0B2">
      <w:pPr>
        <w:tabs>
          <w:tab w:val="left" w:pos="3280"/>
          <w:tab w:val="left" w:pos="4680"/>
          <w:tab w:val="left" w:pos="6080"/>
        </w:tabs>
        <w:autoSpaceDE w:val="0"/>
        <w:autoSpaceDN w:val="0"/>
        <w:adjustRightInd w:val="0"/>
        <w:snapToGrid w:val="0"/>
        <w:spacing w:line="360" w:lineRule="auto"/>
        <w:jc w:val="center"/>
        <w:rPr>
          <w:rFonts w:ascii="宋体" w:hAnsi="宋体" w:cs="MingLiU"/>
          <w:b/>
          <w:color w:val="auto"/>
          <w:kern w:val="0"/>
          <w:sz w:val="28"/>
          <w:szCs w:val="28"/>
          <w:highlight w:val="none"/>
        </w:rPr>
      </w:pPr>
      <w:r>
        <w:rPr>
          <w:rFonts w:hint="eastAsia" w:ascii="宋体" w:hAnsi="宋体" w:cs="MingLiU"/>
          <w:b/>
          <w:color w:val="auto"/>
          <w:w w:val="99"/>
          <w:kern w:val="0"/>
          <w:sz w:val="28"/>
          <w:szCs w:val="28"/>
          <w:highlight w:val="none"/>
          <w:u w:val="single"/>
        </w:rPr>
        <w:t xml:space="preserve">  </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u w:val="single"/>
        </w:rPr>
        <w:t xml:space="preserve">  </w:t>
      </w:r>
      <w:r>
        <w:rPr>
          <w:rFonts w:hint="eastAsia" w:ascii="宋体" w:hAnsi="宋体" w:cs="MingLiU"/>
          <w:b/>
          <w:color w:val="auto"/>
          <w:w w:val="99"/>
          <w:kern w:val="0"/>
          <w:sz w:val="28"/>
          <w:szCs w:val="28"/>
          <w:highlight w:val="none"/>
        </w:rPr>
        <w:t>月</w:t>
      </w:r>
      <w:r>
        <w:rPr>
          <w:rFonts w:hint="eastAsia" w:ascii="宋体" w:hAnsi="宋体" w:cs="MingLiU"/>
          <w:b/>
          <w:color w:val="auto"/>
          <w:w w:val="99"/>
          <w:kern w:val="0"/>
          <w:sz w:val="28"/>
          <w:szCs w:val="28"/>
          <w:highlight w:val="none"/>
          <w:u w:val="single"/>
        </w:rPr>
        <w:t xml:space="preserve">  </w:t>
      </w:r>
      <w:r>
        <w:rPr>
          <w:rFonts w:hint="eastAsia" w:ascii="宋体" w:hAnsi="宋体" w:cs="MingLiU"/>
          <w:b/>
          <w:color w:val="auto"/>
          <w:w w:val="99"/>
          <w:kern w:val="0"/>
          <w:sz w:val="28"/>
          <w:szCs w:val="28"/>
          <w:highlight w:val="none"/>
        </w:rPr>
        <w:t>日</w:t>
      </w:r>
    </w:p>
    <w:p w14:paraId="038D9598">
      <w:pPr>
        <w:jc w:val="center"/>
        <w:rPr>
          <w:rFonts w:ascii="宋体" w:hAnsi="宋体" w:cs="MingLiU"/>
          <w:color w:val="auto"/>
          <w:kern w:val="0"/>
          <w:sz w:val="24"/>
          <w:szCs w:val="21"/>
          <w:highlight w:val="none"/>
        </w:rPr>
      </w:pPr>
      <w:r>
        <w:rPr>
          <w:rFonts w:hint="eastAsia" w:ascii="宋体" w:hAnsi="宋体" w:cs="MingLiU"/>
          <w:color w:val="auto"/>
          <w:kern w:val="0"/>
          <w:sz w:val="24"/>
          <w:szCs w:val="21"/>
          <w:highlight w:val="none"/>
        </w:rPr>
        <w:br w:type="page"/>
      </w:r>
    </w:p>
    <w:p w14:paraId="4345522B">
      <w:pPr>
        <w:jc w:val="center"/>
        <w:rPr>
          <w:rFonts w:ascii="宋体" w:hAnsi="宋体" w:cs="MingLiU"/>
          <w:color w:val="auto"/>
          <w:kern w:val="0"/>
          <w:sz w:val="24"/>
          <w:szCs w:val="21"/>
          <w:highlight w:val="none"/>
        </w:rPr>
      </w:pPr>
    </w:p>
    <w:p w14:paraId="0402F91A">
      <w:pPr>
        <w:jc w:val="center"/>
        <w:rPr>
          <w:rFonts w:ascii="宋体" w:hAnsi="宋体" w:cs="MingLiU"/>
          <w:b/>
          <w:color w:val="auto"/>
          <w:kern w:val="0"/>
          <w:sz w:val="32"/>
          <w:szCs w:val="32"/>
          <w:highlight w:val="none"/>
        </w:rPr>
      </w:pPr>
      <w:r>
        <w:rPr>
          <w:rFonts w:hint="eastAsia" w:ascii="宋体" w:hAnsi="宋体" w:cs="MingLiU"/>
          <w:b/>
          <w:color w:val="auto"/>
          <w:kern w:val="0"/>
          <w:sz w:val="32"/>
          <w:szCs w:val="32"/>
          <w:highlight w:val="none"/>
        </w:rPr>
        <w:t>目录</w:t>
      </w:r>
    </w:p>
    <w:p w14:paraId="78E5B5D3">
      <w:pPr>
        <w:jc w:val="center"/>
        <w:rPr>
          <w:rFonts w:ascii="宋体" w:hAnsi="宋体" w:cs="MingLiU"/>
          <w:b/>
          <w:color w:val="auto"/>
          <w:kern w:val="0"/>
          <w:sz w:val="32"/>
          <w:szCs w:val="32"/>
          <w:highlight w:val="none"/>
        </w:rPr>
      </w:pPr>
    </w:p>
    <w:p w14:paraId="1A9A4CB8">
      <w:pPr>
        <w:spacing w:line="360" w:lineRule="auto"/>
        <w:ind w:firstLine="993" w:firstLineChars="414"/>
        <w:jc w:val="left"/>
        <w:rPr>
          <w:rFonts w:ascii="宋体" w:hAnsi="宋体"/>
          <w:color w:val="auto"/>
          <w:sz w:val="24"/>
          <w:highlight w:val="none"/>
        </w:rPr>
      </w:pPr>
      <w:r>
        <w:rPr>
          <w:rFonts w:hint="eastAsia" w:ascii="宋体" w:hAnsi="宋体"/>
          <w:color w:val="auto"/>
          <w:sz w:val="24"/>
          <w:highlight w:val="none"/>
        </w:rPr>
        <w:t>（一）法定代表人身份证明及授权委托书</w:t>
      </w:r>
    </w:p>
    <w:p w14:paraId="1B5FBA68">
      <w:pPr>
        <w:spacing w:line="360" w:lineRule="auto"/>
        <w:ind w:firstLine="993" w:firstLineChars="414"/>
        <w:rPr>
          <w:rFonts w:ascii="宋体" w:hAnsi="宋体"/>
          <w:color w:val="auto"/>
          <w:sz w:val="24"/>
          <w:highlight w:val="none"/>
        </w:rPr>
      </w:pPr>
      <w:r>
        <w:rPr>
          <w:rFonts w:hint="eastAsia" w:ascii="宋体" w:hAnsi="宋体"/>
          <w:color w:val="auto"/>
          <w:sz w:val="24"/>
          <w:highlight w:val="none"/>
        </w:rPr>
        <w:t>（二）比选申请人基本情况表</w:t>
      </w:r>
    </w:p>
    <w:p w14:paraId="737EDEE1">
      <w:pPr>
        <w:spacing w:line="360" w:lineRule="auto"/>
        <w:ind w:firstLine="993" w:firstLineChars="414"/>
        <w:rPr>
          <w:rFonts w:ascii="宋体" w:hAnsi="宋体"/>
          <w:color w:val="auto"/>
          <w:sz w:val="24"/>
          <w:highlight w:val="none"/>
        </w:rPr>
      </w:pPr>
      <w:r>
        <w:rPr>
          <w:rFonts w:hint="eastAsia" w:ascii="宋体" w:hAnsi="宋体"/>
          <w:color w:val="auto"/>
          <w:sz w:val="24"/>
          <w:highlight w:val="none"/>
        </w:rPr>
        <w:t>（三）项目管理机构</w:t>
      </w:r>
    </w:p>
    <w:p w14:paraId="0A44007D">
      <w:pPr>
        <w:spacing w:line="360" w:lineRule="auto"/>
        <w:ind w:firstLine="993" w:firstLineChars="414"/>
        <w:rPr>
          <w:color w:val="auto"/>
          <w:highlight w:val="none"/>
        </w:rPr>
      </w:pPr>
      <w:r>
        <w:rPr>
          <w:rFonts w:hint="eastAsia" w:ascii="宋体" w:hAnsi="宋体"/>
          <w:color w:val="auto"/>
          <w:sz w:val="24"/>
          <w:highlight w:val="none"/>
        </w:rPr>
        <w:t>（四）投标截止日比选申请资格情况</w:t>
      </w:r>
    </w:p>
    <w:p w14:paraId="0847CF64">
      <w:pPr>
        <w:spacing w:line="360" w:lineRule="auto"/>
        <w:ind w:firstLine="993" w:firstLineChars="414"/>
        <w:rPr>
          <w:rFonts w:ascii="宋体" w:hAnsi="宋体"/>
          <w:color w:val="auto"/>
          <w:sz w:val="24"/>
          <w:highlight w:val="none"/>
        </w:rPr>
      </w:pPr>
      <w:r>
        <w:rPr>
          <w:rFonts w:hint="eastAsia" w:ascii="宋体" w:hAnsi="宋体"/>
          <w:color w:val="auto"/>
          <w:sz w:val="24"/>
          <w:highlight w:val="none"/>
        </w:rPr>
        <w:t>（五）其他资料</w:t>
      </w:r>
    </w:p>
    <w:p w14:paraId="600841AF">
      <w:pPr>
        <w:spacing w:line="360" w:lineRule="auto"/>
        <w:ind w:firstLine="993" w:firstLineChars="414"/>
        <w:rPr>
          <w:rFonts w:ascii="宋体" w:hAnsi="宋体"/>
          <w:color w:val="auto"/>
          <w:sz w:val="24"/>
          <w:highlight w:val="none"/>
        </w:rPr>
      </w:pPr>
    </w:p>
    <w:p w14:paraId="2BCADD73">
      <w:pPr>
        <w:jc w:val="center"/>
        <w:rPr>
          <w:rFonts w:ascii="宋体" w:hAnsi="宋体" w:cs="MingLiU"/>
          <w:b/>
          <w:color w:val="auto"/>
          <w:kern w:val="0"/>
          <w:sz w:val="32"/>
          <w:szCs w:val="32"/>
          <w:highlight w:val="none"/>
        </w:rPr>
      </w:pPr>
    </w:p>
    <w:p w14:paraId="72D63821">
      <w:pPr>
        <w:jc w:val="center"/>
        <w:rPr>
          <w:rFonts w:ascii="宋体" w:hAnsi="宋体" w:cs="MingLiU"/>
          <w:b/>
          <w:color w:val="auto"/>
          <w:kern w:val="0"/>
          <w:sz w:val="32"/>
          <w:szCs w:val="32"/>
          <w:highlight w:val="none"/>
        </w:rPr>
      </w:pPr>
    </w:p>
    <w:p w14:paraId="66663792">
      <w:pPr>
        <w:rPr>
          <w:color w:val="auto"/>
          <w:highlight w:val="none"/>
        </w:rPr>
      </w:pPr>
      <w:r>
        <w:rPr>
          <w:color w:val="auto"/>
          <w:highlight w:val="none"/>
        </w:rPr>
        <w:br w:type="page"/>
      </w:r>
      <w:bookmarkStart w:id="3022" w:name="_Toc224103511"/>
    </w:p>
    <w:p w14:paraId="70EEFE74">
      <w:pPr>
        <w:pStyle w:val="5"/>
        <w:jc w:val="center"/>
        <w:rPr>
          <w:rFonts w:ascii="宋体" w:hAnsi="宋体"/>
          <w:color w:val="auto"/>
          <w:sz w:val="28"/>
          <w:highlight w:val="none"/>
        </w:rPr>
      </w:pPr>
      <w:bookmarkStart w:id="3023" w:name="_Toc493602581"/>
      <w:bookmarkStart w:id="3024" w:name="_Toc505783804"/>
      <w:bookmarkStart w:id="3025" w:name="_Toc16000482"/>
      <w:bookmarkStart w:id="3026" w:name="_Toc8143"/>
      <w:bookmarkStart w:id="3027" w:name="_Toc483489917"/>
      <w:bookmarkStart w:id="3028" w:name="_Toc3659"/>
      <w:bookmarkStart w:id="3029" w:name="_Toc287607883"/>
      <w:bookmarkStart w:id="3030" w:name="_Toc2338"/>
      <w:bookmarkStart w:id="3031" w:name="_Toc277082657"/>
      <w:bookmarkStart w:id="3032" w:name="_Toc505076010"/>
      <w:bookmarkStart w:id="3033" w:name="_Toc7137"/>
      <w:r>
        <w:rPr>
          <w:rFonts w:hint="eastAsia" w:ascii="宋体" w:hAnsi="宋体"/>
          <w:color w:val="auto"/>
          <w:sz w:val="28"/>
          <w:highlight w:val="none"/>
        </w:rPr>
        <w:t>（一）法定代表人身份证明及授权委托书</w:t>
      </w:r>
      <w:bookmarkEnd w:id="3022"/>
      <w:bookmarkEnd w:id="3023"/>
      <w:bookmarkEnd w:id="3024"/>
      <w:bookmarkEnd w:id="3025"/>
      <w:bookmarkEnd w:id="3026"/>
      <w:bookmarkEnd w:id="3027"/>
      <w:bookmarkEnd w:id="3028"/>
      <w:bookmarkEnd w:id="3029"/>
      <w:bookmarkEnd w:id="3030"/>
      <w:bookmarkEnd w:id="3031"/>
      <w:bookmarkEnd w:id="3032"/>
      <w:bookmarkEnd w:id="3033"/>
    </w:p>
    <w:p w14:paraId="69CA3D66">
      <w:pPr>
        <w:rPr>
          <w:color w:val="auto"/>
          <w:highlight w:val="none"/>
        </w:rPr>
      </w:pPr>
    </w:p>
    <w:p w14:paraId="7DE013D9">
      <w:pPr>
        <w:jc w:val="center"/>
        <w:rPr>
          <w:rFonts w:ascii="宋体" w:hAnsi="宋体"/>
          <w:color w:val="auto"/>
          <w:highlight w:val="none"/>
        </w:rPr>
      </w:pPr>
      <w:r>
        <w:rPr>
          <w:rFonts w:hint="eastAsia" w:ascii="宋体" w:hAnsi="宋体"/>
          <w:b/>
          <w:color w:val="auto"/>
          <w:sz w:val="28"/>
          <w:highlight w:val="none"/>
        </w:rPr>
        <w:t>法定代表人身份证明</w:t>
      </w:r>
    </w:p>
    <w:p w14:paraId="713D41E9">
      <w:pPr>
        <w:ind w:left="765"/>
        <w:rPr>
          <w:rFonts w:ascii="宋体" w:hAnsi="宋体"/>
          <w:color w:val="auto"/>
          <w:highlight w:val="none"/>
        </w:rPr>
      </w:pPr>
    </w:p>
    <w:p w14:paraId="1941EC8E">
      <w:pPr>
        <w:tabs>
          <w:tab w:val="left" w:pos="556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比选申请人名称：</w:t>
      </w:r>
      <w:r>
        <w:rPr>
          <w:rFonts w:hint="eastAsia" w:ascii="宋体" w:hAnsi="宋体"/>
          <w:color w:val="auto"/>
          <w:kern w:val="0"/>
          <w:szCs w:val="21"/>
          <w:highlight w:val="none"/>
          <w:u w:val="single"/>
        </w:rPr>
        <w:tab/>
      </w:r>
    </w:p>
    <w:p w14:paraId="554E8694">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4D6BDB52">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单位性质：</w:t>
      </w:r>
      <w:r>
        <w:rPr>
          <w:rFonts w:hint="eastAsia" w:ascii="宋体" w:hAnsi="宋体"/>
          <w:color w:val="auto"/>
          <w:kern w:val="0"/>
          <w:szCs w:val="21"/>
          <w:highlight w:val="none"/>
          <w:u w:val="single"/>
        </w:rPr>
        <w:tab/>
      </w:r>
    </w:p>
    <w:p w14:paraId="20125BDB">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286E09CF">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地址：</w:t>
      </w:r>
      <w:r>
        <w:rPr>
          <w:rFonts w:hint="eastAsia" w:ascii="宋体" w:hAnsi="宋体"/>
          <w:color w:val="auto"/>
          <w:kern w:val="0"/>
          <w:szCs w:val="21"/>
          <w:highlight w:val="none"/>
          <w:u w:val="single"/>
        </w:rPr>
        <w:tab/>
      </w:r>
    </w:p>
    <w:p w14:paraId="0C3CF10B">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426D88F9">
      <w:pPr>
        <w:tabs>
          <w:tab w:val="left" w:pos="2520"/>
          <w:tab w:val="left" w:pos="3836"/>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成立时间：</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年</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 xml:space="preserve">月           </w:t>
      </w:r>
      <w:r>
        <w:rPr>
          <w:rFonts w:hint="eastAsia" w:ascii="宋体" w:hAnsi="宋体" w:cs="MingLiU"/>
          <w:color w:val="auto"/>
          <w:kern w:val="0"/>
          <w:szCs w:val="21"/>
          <w:highlight w:val="none"/>
        </w:rPr>
        <w:t>日</w:t>
      </w:r>
    </w:p>
    <w:p w14:paraId="1A83C181">
      <w:pPr>
        <w:autoSpaceDE w:val="0"/>
        <w:autoSpaceDN w:val="0"/>
        <w:adjustRightInd w:val="0"/>
        <w:snapToGrid w:val="0"/>
        <w:spacing w:line="360" w:lineRule="auto"/>
        <w:ind w:firstLine="186" w:firstLineChars="186"/>
        <w:jc w:val="left"/>
        <w:rPr>
          <w:rFonts w:ascii="宋体" w:hAnsi="宋体" w:cs="MingLiU"/>
          <w:color w:val="auto"/>
          <w:kern w:val="0"/>
          <w:sz w:val="10"/>
          <w:szCs w:val="10"/>
          <w:highlight w:val="none"/>
        </w:rPr>
      </w:pPr>
    </w:p>
    <w:p w14:paraId="6435CB4B">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经营期限：</w:t>
      </w:r>
      <w:r>
        <w:rPr>
          <w:rFonts w:hint="eastAsia" w:ascii="宋体" w:hAnsi="宋体"/>
          <w:color w:val="auto"/>
          <w:kern w:val="0"/>
          <w:szCs w:val="21"/>
          <w:highlight w:val="none"/>
          <w:u w:val="single"/>
        </w:rPr>
        <w:tab/>
      </w:r>
    </w:p>
    <w:p w14:paraId="23400C2E">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39C094B5">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姓名：</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性别</w:t>
      </w:r>
      <w:r>
        <w:rPr>
          <w:rFonts w:hint="eastAsia" w:ascii="宋体" w:hAnsi="宋体" w:cs="MingLiU"/>
          <w:color w:val="auto"/>
          <w:spacing w:val="-1"/>
          <w:kern w:val="0"/>
          <w:szCs w:val="21"/>
          <w:highlight w:val="none"/>
        </w:rPr>
        <w:t>：</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年</w:t>
      </w:r>
      <w:r>
        <w:rPr>
          <w:rFonts w:hint="eastAsia" w:ascii="宋体" w:hAnsi="宋体" w:cs="MingLiU"/>
          <w:color w:val="auto"/>
          <w:kern w:val="0"/>
          <w:szCs w:val="21"/>
          <w:highlight w:val="none"/>
        </w:rPr>
        <w:t>龄：</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职务：</w:t>
      </w:r>
      <w:r>
        <w:rPr>
          <w:rFonts w:hint="eastAsia" w:ascii="宋体" w:hAnsi="宋体"/>
          <w:color w:val="auto"/>
          <w:kern w:val="0"/>
          <w:szCs w:val="21"/>
          <w:highlight w:val="none"/>
          <w:u w:val="single"/>
        </w:rPr>
        <w:tab/>
      </w:r>
    </w:p>
    <w:p w14:paraId="3E508474">
      <w:pPr>
        <w:autoSpaceDE w:val="0"/>
        <w:autoSpaceDN w:val="0"/>
        <w:adjustRightInd w:val="0"/>
        <w:snapToGrid w:val="0"/>
        <w:spacing w:line="360" w:lineRule="auto"/>
        <w:ind w:firstLine="372" w:firstLineChars="186"/>
        <w:jc w:val="left"/>
        <w:rPr>
          <w:rFonts w:ascii="宋体" w:hAnsi="宋体" w:cs="MingLiU"/>
          <w:color w:val="auto"/>
          <w:kern w:val="0"/>
          <w:sz w:val="20"/>
          <w:szCs w:val="20"/>
          <w:highlight w:val="none"/>
        </w:rPr>
      </w:pPr>
    </w:p>
    <w:p w14:paraId="3A9AA2BF">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Cs w:val="21"/>
          <w:highlight w:val="none"/>
        </w:rPr>
      </w:pPr>
      <w:r>
        <w:rPr>
          <w:rFonts w:hint="eastAsia" w:ascii="宋体" w:hAnsi="宋体" w:cs="MingLiU"/>
          <w:color w:val="auto"/>
          <w:kern w:val="0"/>
          <w:szCs w:val="21"/>
          <w:highlight w:val="none"/>
        </w:rPr>
        <w:t>系</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（比选申请人名称）的法定代表人。</w:t>
      </w:r>
    </w:p>
    <w:p w14:paraId="4AE34944">
      <w:pPr>
        <w:autoSpaceDE w:val="0"/>
        <w:autoSpaceDN w:val="0"/>
        <w:adjustRightInd w:val="0"/>
        <w:snapToGrid w:val="0"/>
        <w:spacing w:line="360" w:lineRule="auto"/>
        <w:ind w:firstLine="186" w:firstLineChars="186"/>
        <w:jc w:val="left"/>
        <w:rPr>
          <w:rFonts w:ascii="宋体" w:hAnsi="宋体" w:cs="MingLiU"/>
          <w:color w:val="auto"/>
          <w:kern w:val="0"/>
          <w:sz w:val="10"/>
          <w:szCs w:val="10"/>
          <w:highlight w:val="none"/>
        </w:rPr>
      </w:pPr>
    </w:p>
    <w:p w14:paraId="14FE3EC3">
      <w:pPr>
        <w:autoSpaceDE w:val="0"/>
        <w:autoSpaceDN w:val="0"/>
        <w:adjustRightInd w:val="0"/>
        <w:snapToGrid w:val="0"/>
        <w:spacing w:line="360" w:lineRule="auto"/>
        <w:ind w:firstLine="810" w:firstLineChars="386"/>
        <w:jc w:val="left"/>
        <w:rPr>
          <w:rFonts w:ascii="宋体" w:hAnsi="宋体" w:cs="MingLiU"/>
          <w:color w:val="auto"/>
          <w:kern w:val="0"/>
          <w:szCs w:val="21"/>
          <w:highlight w:val="none"/>
        </w:rPr>
      </w:pPr>
      <w:r>
        <w:rPr>
          <w:rFonts w:hint="eastAsia" w:ascii="宋体" w:hAnsi="宋体" w:cs="MingLiU"/>
          <w:color w:val="auto"/>
          <w:kern w:val="0"/>
          <w:szCs w:val="21"/>
          <w:highlight w:val="none"/>
        </w:rPr>
        <w:t>特此证明。</w:t>
      </w:r>
    </w:p>
    <w:tbl>
      <w:tblPr>
        <w:tblStyle w:val="46"/>
        <w:tblpPr w:leftFromText="180" w:rightFromText="180" w:vertAnchor="text" w:horzAnchor="page" w:tblpX="3010" w:tblpY="294"/>
        <w:tblW w:w="625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6255"/>
      </w:tblGrid>
      <w:tr w14:paraId="7D73C6B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85" w:hRule="atLeast"/>
        </w:trPr>
        <w:tc>
          <w:tcPr>
            <w:tcW w:w="6255" w:type="dxa"/>
          </w:tcPr>
          <w:p w14:paraId="482E6A9A">
            <w:pPr>
              <w:spacing w:line="360" w:lineRule="auto"/>
              <w:ind w:firstLine="281" w:firstLineChars="100"/>
              <w:jc w:val="center"/>
              <w:rPr>
                <w:rFonts w:ascii="宋体" w:hAnsi="宋体"/>
                <w:b/>
                <w:color w:val="auto"/>
                <w:sz w:val="28"/>
                <w:highlight w:val="none"/>
              </w:rPr>
            </w:pPr>
            <w:r>
              <w:rPr>
                <w:rFonts w:hint="eastAsia" w:ascii="宋体" w:hAnsi="宋体"/>
                <w:b/>
                <w:color w:val="auto"/>
                <w:sz w:val="28"/>
                <w:highlight w:val="none"/>
              </w:rPr>
              <w:t>法定代表人身份证复印件（正、反面）</w:t>
            </w:r>
          </w:p>
          <w:p w14:paraId="0CA4D85F">
            <w:pPr>
              <w:spacing w:line="360" w:lineRule="auto"/>
              <w:rPr>
                <w:rFonts w:ascii="宋体" w:hAnsi="宋体"/>
                <w:b/>
                <w:color w:val="auto"/>
                <w:sz w:val="28"/>
                <w:highlight w:val="none"/>
              </w:rPr>
            </w:pPr>
          </w:p>
        </w:tc>
      </w:tr>
    </w:tbl>
    <w:p w14:paraId="3DCF411F">
      <w:pPr>
        <w:autoSpaceDE w:val="0"/>
        <w:autoSpaceDN w:val="0"/>
        <w:adjustRightInd w:val="0"/>
        <w:snapToGrid w:val="0"/>
        <w:spacing w:line="360" w:lineRule="auto"/>
        <w:jc w:val="left"/>
        <w:rPr>
          <w:rFonts w:ascii="宋体" w:hAnsi="宋体" w:cs="MingLiU"/>
          <w:color w:val="auto"/>
          <w:kern w:val="0"/>
          <w:sz w:val="18"/>
          <w:szCs w:val="18"/>
          <w:highlight w:val="none"/>
        </w:rPr>
      </w:pPr>
    </w:p>
    <w:p w14:paraId="36C0C8AD">
      <w:pPr>
        <w:autoSpaceDE w:val="0"/>
        <w:autoSpaceDN w:val="0"/>
        <w:adjustRightInd w:val="0"/>
        <w:snapToGrid w:val="0"/>
        <w:spacing w:line="360" w:lineRule="auto"/>
        <w:jc w:val="left"/>
        <w:rPr>
          <w:rFonts w:ascii="宋体" w:hAnsi="宋体" w:cs="MingLiU"/>
          <w:color w:val="auto"/>
          <w:kern w:val="0"/>
          <w:sz w:val="20"/>
          <w:szCs w:val="20"/>
          <w:highlight w:val="none"/>
        </w:rPr>
      </w:pPr>
    </w:p>
    <w:p w14:paraId="19F1EDC3">
      <w:pPr>
        <w:autoSpaceDE w:val="0"/>
        <w:autoSpaceDN w:val="0"/>
        <w:adjustRightInd w:val="0"/>
        <w:snapToGrid w:val="0"/>
        <w:spacing w:line="360" w:lineRule="auto"/>
        <w:jc w:val="left"/>
        <w:rPr>
          <w:rFonts w:ascii="宋体" w:hAnsi="宋体" w:cs="MingLiU"/>
          <w:color w:val="auto"/>
          <w:kern w:val="0"/>
          <w:sz w:val="20"/>
          <w:szCs w:val="20"/>
          <w:highlight w:val="none"/>
        </w:rPr>
      </w:pPr>
    </w:p>
    <w:p w14:paraId="2E546C95">
      <w:pPr>
        <w:autoSpaceDE w:val="0"/>
        <w:autoSpaceDN w:val="0"/>
        <w:adjustRightInd w:val="0"/>
        <w:snapToGrid w:val="0"/>
        <w:spacing w:line="360" w:lineRule="auto"/>
        <w:jc w:val="left"/>
        <w:rPr>
          <w:rFonts w:ascii="宋体" w:hAnsi="宋体" w:cs="MingLiU"/>
          <w:color w:val="auto"/>
          <w:kern w:val="0"/>
          <w:sz w:val="20"/>
          <w:szCs w:val="20"/>
          <w:highlight w:val="none"/>
        </w:rPr>
      </w:pPr>
    </w:p>
    <w:p w14:paraId="5B50EF6A">
      <w:pPr>
        <w:autoSpaceDE w:val="0"/>
        <w:autoSpaceDN w:val="0"/>
        <w:adjustRightInd w:val="0"/>
        <w:snapToGrid w:val="0"/>
        <w:spacing w:line="360" w:lineRule="auto"/>
        <w:jc w:val="left"/>
        <w:rPr>
          <w:rFonts w:ascii="宋体" w:hAnsi="宋体" w:cs="MingLiU"/>
          <w:color w:val="auto"/>
          <w:kern w:val="0"/>
          <w:sz w:val="20"/>
          <w:szCs w:val="20"/>
          <w:highlight w:val="none"/>
        </w:rPr>
      </w:pPr>
    </w:p>
    <w:p w14:paraId="2BE06B9C">
      <w:pPr>
        <w:tabs>
          <w:tab w:val="left" w:pos="5460"/>
        </w:tabs>
        <w:autoSpaceDE w:val="0"/>
        <w:autoSpaceDN w:val="0"/>
        <w:adjustRightInd w:val="0"/>
        <w:snapToGrid w:val="0"/>
        <w:spacing w:line="360" w:lineRule="auto"/>
        <w:ind w:firstLine="2100"/>
        <w:jc w:val="left"/>
        <w:rPr>
          <w:rFonts w:ascii="宋体" w:hAnsi="宋体" w:cs="MingLiU"/>
          <w:color w:val="auto"/>
          <w:kern w:val="0"/>
          <w:szCs w:val="21"/>
          <w:highlight w:val="none"/>
        </w:rPr>
      </w:pPr>
      <w:r>
        <w:rPr>
          <w:rFonts w:hint="eastAsia" w:ascii="宋体" w:hAnsi="宋体" w:cs="MingLiU"/>
          <w:color w:val="auto"/>
          <w:kern w:val="0"/>
          <w:szCs w:val="21"/>
          <w:highlight w:val="none"/>
        </w:rPr>
        <w:t>比选申请人：</w:t>
      </w: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w:t>
      </w:r>
      <w:r>
        <w:rPr>
          <w:rFonts w:hint="eastAsia" w:ascii="宋体" w:hAnsi="宋体" w:cs="MingLiU"/>
          <w:color w:val="auto"/>
          <w:kern w:val="0"/>
          <w:szCs w:val="21"/>
          <w:highlight w:val="none"/>
        </w:rPr>
        <w:t>盖单位法人章）</w:t>
      </w:r>
    </w:p>
    <w:p w14:paraId="7165FF31">
      <w:pPr>
        <w:autoSpaceDE w:val="0"/>
        <w:autoSpaceDN w:val="0"/>
        <w:adjustRightInd w:val="0"/>
        <w:snapToGrid w:val="0"/>
        <w:spacing w:line="360" w:lineRule="auto"/>
        <w:jc w:val="left"/>
        <w:rPr>
          <w:rFonts w:ascii="宋体" w:hAnsi="宋体" w:cs="MingLiU"/>
          <w:color w:val="auto"/>
          <w:kern w:val="0"/>
          <w:sz w:val="20"/>
          <w:szCs w:val="20"/>
          <w:highlight w:val="none"/>
        </w:rPr>
      </w:pPr>
    </w:p>
    <w:p w14:paraId="6E7DDE84">
      <w:pPr>
        <w:tabs>
          <w:tab w:val="left" w:pos="4935"/>
          <w:tab w:val="left" w:pos="5460"/>
          <w:tab w:val="left" w:pos="6400"/>
        </w:tabs>
        <w:autoSpaceDE w:val="0"/>
        <w:autoSpaceDN w:val="0"/>
        <w:adjustRightInd w:val="0"/>
        <w:snapToGrid w:val="0"/>
        <w:spacing w:line="360" w:lineRule="auto"/>
        <w:ind w:firstLine="3780"/>
        <w:jc w:val="left"/>
        <w:rPr>
          <w:rFonts w:ascii="宋体" w:hAnsi="宋体" w:cs="MingLiU"/>
          <w:color w:val="auto"/>
          <w:kern w:val="0"/>
          <w:szCs w:val="21"/>
          <w:highlight w:val="none"/>
        </w:rPr>
      </w:pPr>
      <w:r>
        <w:rPr>
          <w:rFonts w:hint="eastAsia" w:ascii="宋体" w:hAnsi="宋体"/>
          <w:color w:val="auto"/>
          <w:kern w:val="0"/>
          <w:szCs w:val="21"/>
          <w:highlight w:val="none"/>
          <w:u w:val="single"/>
        </w:rPr>
        <w:tab/>
      </w:r>
      <w:r>
        <w:rPr>
          <w:rFonts w:hint="eastAsia" w:ascii="宋体" w:hAnsi="宋体" w:cs="MingLiU"/>
          <w:color w:val="auto"/>
          <w:spacing w:val="-1"/>
          <w:kern w:val="0"/>
          <w:szCs w:val="21"/>
          <w:highlight w:val="none"/>
        </w:rPr>
        <w:t xml:space="preserve">年   </w:t>
      </w:r>
      <w:r>
        <w:rPr>
          <w:rFonts w:hint="eastAsia" w:ascii="宋体" w:hAnsi="宋体" w:cs="MingLiU"/>
          <w:color w:val="auto"/>
          <w:kern w:val="0"/>
          <w:szCs w:val="21"/>
          <w:highlight w:val="none"/>
        </w:rPr>
        <w:t>月   日</w:t>
      </w:r>
    </w:p>
    <w:p w14:paraId="37E41744">
      <w:pPr>
        <w:autoSpaceDE w:val="0"/>
        <w:autoSpaceDN w:val="0"/>
        <w:adjustRightInd w:val="0"/>
        <w:snapToGrid w:val="0"/>
        <w:spacing w:line="360" w:lineRule="auto"/>
        <w:jc w:val="left"/>
        <w:rPr>
          <w:rFonts w:ascii="宋体" w:hAnsi="宋体"/>
          <w:color w:val="auto"/>
          <w:kern w:val="0"/>
          <w:highlight w:val="none"/>
          <w:u w:val="single"/>
        </w:rPr>
      </w:pPr>
      <w:r>
        <w:rPr>
          <w:rFonts w:hint="eastAsia" w:ascii="宋体" w:hAnsi="宋体"/>
          <w:color w:val="auto"/>
          <w:kern w:val="0"/>
          <w:highlight w:val="none"/>
          <w:u w:val="single"/>
        </w:rPr>
        <w:t>注：法定代表人身份证明需按上述格式填写完整，不可缺少内容。在此基础上增加内容的不影响其有效性。</w:t>
      </w:r>
    </w:p>
    <w:p w14:paraId="495E9421">
      <w:pPr>
        <w:autoSpaceDE w:val="0"/>
        <w:autoSpaceDN w:val="0"/>
        <w:adjustRightInd w:val="0"/>
        <w:snapToGrid w:val="0"/>
        <w:spacing w:line="360" w:lineRule="auto"/>
        <w:jc w:val="left"/>
        <w:rPr>
          <w:rFonts w:ascii="宋体" w:hAnsi="宋体"/>
          <w:color w:val="auto"/>
          <w:kern w:val="0"/>
          <w:highlight w:val="none"/>
        </w:rPr>
      </w:pPr>
    </w:p>
    <w:p w14:paraId="24F7F81C">
      <w:pPr>
        <w:pStyle w:val="2"/>
        <w:rPr>
          <w:color w:val="auto"/>
          <w:highlight w:val="none"/>
        </w:rPr>
      </w:pPr>
    </w:p>
    <w:p w14:paraId="2FF04219">
      <w:pPr>
        <w:autoSpaceDE w:val="0"/>
        <w:autoSpaceDN w:val="0"/>
        <w:adjustRightInd w:val="0"/>
        <w:snapToGrid w:val="0"/>
        <w:spacing w:line="360" w:lineRule="auto"/>
        <w:jc w:val="left"/>
        <w:rPr>
          <w:rFonts w:ascii="宋体" w:hAnsi="宋体"/>
          <w:color w:val="auto"/>
          <w:kern w:val="0"/>
          <w:highlight w:val="none"/>
        </w:rPr>
      </w:pPr>
    </w:p>
    <w:p w14:paraId="3714792E">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color w:val="auto"/>
          <w:kern w:val="0"/>
          <w:sz w:val="28"/>
          <w:szCs w:val="28"/>
          <w:highlight w:val="none"/>
        </w:rPr>
      </w:pPr>
      <w:r>
        <w:rPr>
          <w:rFonts w:hint="eastAsia" w:ascii="宋体" w:hAnsi="宋体" w:cs="MingLiU"/>
          <w:b/>
          <w:color w:val="auto"/>
          <w:kern w:val="0"/>
          <w:sz w:val="28"/>
          <w:szCs w:val="28"/>
          <w:highlight w:val="none"/>
        </w:rPr>
        <w:t>授权委托书</w:t>
      </w:r>
    </w:p>
    <w:p w14:paraId="16E327EB">
      <w:pPr>
        <w:autoSpaceDE w:val="0"/>
        <w:autoSpaceDN w:val="0"/>
        <w:adjustRightInd w:val="0"/>
        <w:snapToGrid w:val="0"/>
        <w:spacing w:line="360" w:lineRule="auto"/>
        <w:jc w:val="left"/>
        <w:rPr>
          <w:rFonts w:ascii="宋体" w:hAnsi="宋体" w:cs="MingLiU"/>
          <w:color w:val="auto"/>
          <w:kern w:val="0"/>
          <w:sz w:val="20"/>
          <w:szCs w:val="20"/>
          <w:highlight w:val="none"/>
        </w:rPr>
      </w:pPr>
    </w:p>
    <w:p w14:paraId="7ACA3E9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highlight w:val="none"/>
        </w:rPr>
      </w:pPr>
      <w:r>
        <w:rPr>
          <w:rFonts w:hint="eastAsia" w:ascii="宋体" w:hAnsi="宋体" w:cs="MingLiU"/>
          <w:color w:val="auto"/>
          <w:kern w:val="0"/>
          <w:szCs w:val="21"/>
          <w:highlight w:val="none"/>
        </w:rPr>
        <w:t>本人</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（姓名）系</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w:t>
      </w:r>
      <w:r>
        <w:rPr>
          <w:rFonts w:hint="eastAsia" w:ascii="宋体" w:hAnsi="宋体" w:cs="MingLiU"/>
          <w:color w:val="auto"/>
          <w:spacing w:val="-1"/>
          <w:kern w:val="0"/>
          <w:szCs w:val="21"/>
          <w:highlight w:val="none"/>
        </w:rPr>
        <w:t>比选申请人</w:t>
      </w:r>
      <w:r>
        <w:rPr>
          <w:rFonts w:hint="eastAsia" w:ascii="宋体" w:hAnsi="宋体" w:cs="MingLiU"/>
          <w:color w:val="auto"/>
          <w:kern w:val="0"/>
          <w:szCs w:val="21"/>
          <w:highlight w:val="none"/>
        </w:rPr>
        <w:t>名称</w:t>
      </w:r>
      <w:r>
        <w:rPr>
          <w:rFonts w:hint="eastAsia" w:ascii="宋体" w:hAnsi="宋体" w:cs="MingLiU"/>
          <w:color w:val="auto"/>
          <w:spacing w:val="1"/>
          <w:kern w:val="0"/>
          <w:szCs w:val="21"/>
          <w:highlight w:val="none"/>
        </w:rPr>
        <w:t>）</w:t>
      </w:r>
      <w:r>
        <w:rPr>
          <w:rFonts w:hint="eastAsia" w:ascii="宋体" w:hAnsi="宋体" w:cs="MingLiU"/>
          <w:color w:val="auto"/>
          <w:kern w:val="0"/>
          <w:szCs w:val="21"/>
          <w:highlight w:val="none"/>
        </w:rPr>
        <w:t>的法定代</w:t>
      </w:r>
      <w:r>
        <w:rPr>
          <w:rFonts w:hint="eastAsia" w:ascii="宋体" w:hAnsi="宋体" w:cs="MingLiU"/>
          <w:color w:val="auto"/>
          <w:spacing w:val="1"/>
          <w:kern w:val="0"/>
          <w:szCs w:val="21"/>
          <w:highlight w:val="none"/>
        </w:rPr>
        <w:t>表</w:t>
      </w:r>
      <w:r>
        <w:rPr>
          <w:rFonts w:hint="eastAsia" w:ascii="宋体" w:hAnsi="宋体" w:cs="MingLiU"/>
          <w:color w:val="auto"/>
          <w:kern w:val="0"/>
          <w:szCs w:val="21"/>
          <w:highlight w:val="none"/>
        </w:rPr>
        <w:t>人，现委托</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（姓名）为我方代理人。代理人根据授权，以我方名义签署、澄清、说明、补正、递交、撤回、修改</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（项</w:t>
      </w:r>
      <w:r>
        <w:rPr>
          <w:rFonts w:hint="eastAsia" w:ascii="宋体" w:hAnsi="宋体" w:cs="MingLiU"/>
          <w:color w:val="auto"/>
          <w:spacing w:val="-1"/>
          <w:kern w:val="0"/>
          <w:szCs w:val="21"/>
          <w:highlight w:val="none"/>
        </w:rPr>
        <w:t>目</w:t>
      </w:r>
      <w:r>
        <w:rPr>
          <w:rFonts w:hint="eastAsia" w:ascii="宋体" w:hAnsi="宋体" w:cs="MingLiU"/>
          <w:color w:val="auto"/>
          <w:kern w:val="0"/>
          <w:szCs w:val="21"/>
          <w:highlight w:val="none"/>
        </w:rPr>
        <w:t>名称）施工比选申请文件、签订合同和处理有关事宜，其法律后果由我方承担。</w:t>
      </w:r>
    </w:p>
    <w:p w14:paraId="0059AA7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hint="eastAsia" w:ascii="宋体" w:hAnsi="宋体" w:cs="MingLiU"/>
          <w:color w:val="auto"/>
          <w:kern w:val="0"/>
          <w:szCs w:val="21"/>
          <w:highlight w:val="none"/>
        </w:rPr>
        <w:t>委托</w:t>
      </w:r>
      <w:r>
        <w:rPr>
          <w:rFonts w:hint="eastAsia" w:ascii="宋体" w:hAnsi="宋体" w:cs="MingLiU"/>
          <w:color w:val="auto"/>
          <w:spacing w:val="-1"/>
          <w:kern w:val="0"/>
          <w:szCs w:val="21"/>
          <w:highlight w:val="none"/>
        </w:rPr>
        <w:t>期</w:t>
      </w:r>
      <w:r>
        <w:rPr>
          <w:rFonts w:hint="eastAsia" w:ascii="宋体" w:hAnsi="宋体" w:cs="MingLiU"/>
          <w:color w:val="auto"/>
          <w:kern w:val="0"/>
          <w:szCs w:val="21"/>
          <w:highlight w:val="none"/>
        </w:rPr>
        <w:t>限：</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w:t>
      </w:r>
    </w:p>
    <w:p w14:paraId="1D7D868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highlight w:val="none"/>
        </w:rPr>
      </w:pPr>
      <w:r>
        <w:rPr>
          <w:rFonts w:hint="eastAsia" w:ascii="宋体" w:hAnsi="宋体" w:cs="MingLiU"/>
          <w:color w:val="auto"/>
          <w:kern w:val="0"/>
          <w:szCs w:val="21"/>
          <w:highlight w:val="none"/>
        </w:rPr>
        <w:t>代理人无转委托权。</w:t>
      </w:r>
    </w:p>
    <w:p w14:paraId="504B4A7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 w:val="20"/>
          <w:szCs w:val="20"/>
          <w:highlight w:val="none"/>
        </w:rPr>
      </w:pPr>
      <w:r>
        <w:rPr>
          <w:rFonts w:hint="eastAsia" w:ascii="宋体" w:hAnsi="宋体" w:cs="MingLiU"/>
          <w:color w:val="auto"/>
          <w:kern w:val="0"/>
          <w:szCs w:val="21"/>
          <w:highlight w:val="none"/>
        </w:rPr>
        <w:t>附：法定代表人身份证明。</w:t>
      </w:r>
    </w:p>
    <w:p w14:paraId="6E3CF368">
      <w:pPr>
        <w:tabs>
          <w:tab w:val="left" w:pos="6720"/>
        </w:tabs>
        <w:autoSpaceDE w:val="0"/>
        <w:autoSpaceDN w:val="0"/>
        <w:adjustRightInd w:val="0"/>
        <w:snapToGrid w:val="0"/>
        <w:spacing w:line="360" w:lineRule="auto"/>
        <w:ind w:firstLine="1694"/>
        <w:jc w:val="left"/>
        <w:rPr>
          <w:rFonts w:ascii="宋体" w:hAnsi="宋体"/>
          <w:color w:val="auto"/>
          <w:kern w:val="0"/>
          <w:szCs w:val="21"/>
          <w:highlight w:val="none"/>
        </w:rPr>
      </w:pPr>
      <w:r>
        <w:rPr>
          <w:rFonts w:hint="eastAsia" w:ascii="宋体" w:hAnsi="宋体" w:cs="MingLiU"/>
          <w:color w:val="auto"/>
          <w:kern w:val="0"/>
          <w:szCs w:val="21"/>
          <w:highlight w:val="none"/>
        </w:rPr>
        <w:t>比选申请人：</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w:t>
      </w:r>
      <w:r>
        <w:rPr>
          <w:rFonts w:hint="eastAsia" w:ascii="宋体" w:hAnsi="宋体" w:cs="MingLiU"/>
          <w:color w:val="auto"/>
          <w:spacing w:val="-1"/>
          <w:kern w:val="0"/>
          <w:szCs w:val="21"/>
          <w:highlight w:val="none"/>
        </w:rPr>
        <w:t>盖</w:t>
      </w:r>
      <w:r>
        <w:rPr>
          <w:rFonts w:hint="eastAsia" w:ascii="宋体" w:hAnsi="宋体" w:cs="MingLiU"/>
          <w:color w:val="auto"/>
          <w:kern w:val="0"/>
          <w:szCs w:val="21"/>
          <w:highlight w:val="none"/>
        </w:rPr>
        <w:t>单位法人章）</w:t>
      </w:r>
    </w:p>
    <w:p w14:paraId="5CF4C157">
      <w:pPr>
        <w:tabs>
          <w:tab w:val="left" w:pos="6300"/>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法定代表人：</w:t>
      </w:r>
      <w:r>
        <w:rPr>
          <w:rFonts w:hint="eastAsia" w:ascii="宋体" w:hAnsi="宋体"/>
          <w:color w:val="auto"/>
          <w:kern w:val="0"/>
          <w:szCs w:val="21"/>
          <w:highlight w:val="none"/>
          <w:u w:val="single"/>
        </w:rPr>
        <w:tab/>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（签名）</w:t>
      </w:r>
    </w:p>
    <w:p w14:paraId="2F906476">
      <w:pPr>
        <w:tabs>
          <w:tab w:val="left" w:pos="6735"/>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身份证号码：</w:t>
      </w:r>
      <w:r>
        <w:rPr>
          <w:rFonts w:hint="eastAsia" w:ascii="宋体" w:hAnsi="宋体"/>
          <w:color w:val="auto"/>
          <w:kern w:val="0"/>
          <w:szCs w:val="21"/>
          <w:highlight w:val="none"/>
          <w:u w:val="single"/>
        </w:rPr>
        <w:tab/>
      </w:r>
    </w:p>
    <w:p w14:paraId="2F69FF2E">
      <w:pPr>
        <w:tabs>
          <w:tab w:val="left" w:pos="6720"/>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委托代理人：</w:t>
      </w:r>
      <w:r>
        <w:rPr>
          <w:rFonts w:hint="eastAsia" w:ascii="宋体" w:hAnsi="宋体"/>
          <w:color w:val="auto"/>
          <w:kern w:val="0"/>
          <w:szCs w:val="21"/>
          <w:highlight w:val="none"/>
          <w:u w:val="single"/>
        </w:rPr>
        <w:tab/>
      </w:r>
      <w:r>
        <w:rPr>
          <w:rFonts w:hint="eastAsia" w:ascii="宋体" w:hAnsi="宋体" w:cs="MingLiU"/>
          <w:color w:val="auto"/>
          <w:kern w:val="0"/>
          <w:szCs w:val="21"/>
          <w:highlight w:val="none"/>
        </w:rPr>
        <w:t>（签</w:t>
      </w:r>
      <w:r>
        <w:rPr>
          <w:rFonts w:hint="eastAsia" w:ascii="宋体" w:hAnsi="宋体" w:cs="MingLiU"/>
          <w:color w:val="auto"/>
          <w:spacing w:val="-1"/>
          <w:kern w:val="0"/>
          <w:szCs w:val="21"/>
          <w:highlight w:val="none"/>
        </w:rPr>
        <w:t>名</w:t>
      </w:r>
      <w:r>
        <w:rPr>
          <w:rFonts w:hint="eastAsia" w:ascii="宋体" w:hAnsi="宋体" w:cs="MingLiU"/>
          <w:color w:val="auto"/>
          <w:kern w:val="0"/>
          <w:szCs w:val="21"/>
          <w:highlight w:val="none"/>
        </w:rPr>
        <w:t>）</w:t>
      </w:r>
    </w:p>
    <w:p w14:paraId="6441DD46">
      <w:pPr>
        <w:tabs>
          <w:tab w:val="left" w:pos="6825"/>
        </w:tabs>
        <w:autoSpaceDE w:val="0"/>
        <w:autoSpaceDN w:val="0"/>
        <w:adjustRightInd w:val="0"/>
        <w:snapToGrid w:val="0"/>
        <w:spacing w:line="360" w:lineRule="auto"/>
        <w:ind w:firstLine="1680"/>
        <w:jc w:val="left"/>
        <w:rPr>
          <w:rFonts w:ascii="宋体" w:hAnsi="宋体" w:cs="MingLiU"/>
          <w:color w:val="auto"/>
          <w:kern w:val="0"/>
          <w:sz w:val="20"/>
          <w:szCs w:val="20"/>
          <w:highlight w:val="none"/>
        </w:rPr>
      </w:pPr>
      <w:r>
        <w:rPr>
          <w:rFonts w:hint="eastAsia" w:ascii="宋体" w:hAnsi="宋体" w:cs="MingLiU"/>
          <w:color w:val="auto"/>
          <w:kern w:val="0"/>
          <w:szCs w:val="21"/>
          <w:highlight w:val="none"/>
        </w:rPr>
        <w:t>身份证号码：</w:t>
      </w:r>
      <w:r>
        <w:rPr>
          <w:rFonts w:hint="eastAsia" w:ascii="宋体" w:hAnsi="宋体"/>
          <w:color w:val="auto"/>
          <w:kern w:val="0"/>
          <w:szCs w:val="21"/>
          <w:highlight w:val="none"/>
          <w:u w:val="single"/>
        </w:rPr>
        <w:tab/>
      </w:r>
    </w:p>
    <w:tbl>
      <w:tblPr>
        <w:tblStyle w:val="46"/>
        <w:tblpPr w:leftFromText="180" w:rightFromText="180" w:vertAnchor="text" w:horzAnchor="page" w:tblpX="6475" w:tblpY="77"/>
        <w:tblW w:w="445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55"/>
      </w:tblGrid>
      <w:tr w14:paraId="05EC036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328" w:hRule="atLeast"/>
        </w:trPr>
        <w:tc>
          <w:tcPr>
            <w:tcW w:w="4455" w:type="dxa"/>
          </w:tcPr>
          <w:p w14:paraId="121DB34D">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委托代理人身份证复印件</w:t>
            </w:r>
          </w:p>
          <w:p w14:paraId="1A577966">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（正、反面）</w:t>
            </w:r>
          </w:p>
          <w:p w14:paraId="76C8D9B2">
            <w:pPr>
              <w:spacing w:line="360" w:lineRule="auto"/>
              <w:rPr>
                <w:rFonts w:ascii="宋体" w:hAnsi="宋体"/>
                <w:b/>
                <w:color w:val="auto"/>
                <w:sz w:val="28"/>
                <w:highlight w:val="none"/>
              </w:rPr>
            </w:pPr>
          </w:p>
        </w:tc>
      </w:tr>
    </w:tbl>
    <w:p w14:paraId="3DAB4A38">
      <w:pPr>
        <w:rPr>
          <w:vanish/>
          <w:color w:val="auto"/>
          <w:highlight w:val="none"/>
        </w:rPr>
      </w:pPr>
    </w:p>
    <w:tbl>
      <w:tblPr>
        <w:tblStyle w:val="46"/>
        <w:tblpPr w:leftFromText="180" w:rightFromText="180" w:vertAnchor="text" w:horzAnchor="page" w:tblpX="1315" w:tblpY="82"/>
        <w:tblW w:w="442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25"/>
      </w:tblGrid>
      <w:tr w14:paraId="749A74D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398" w:hRule="atLeast"/>
        </w:trPr>
        <w:tc>
          <w:tcPr>
            <w:tcW w:w="4425" w:type="dxa"/>
          </w:tcPr>
          <w:p w14:paraId="05F0846E">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法定代表人身份证复印件</w:t>
            </w:r>
          </w:p>
          <w:p w14:paraId="03BE67A1">
            <w:pPr>
              <w:tabs>
                <w:tab w:val="left" w:pos="3360"/>
              </w:tabs>
              <w:autoSpaceDE w:val="0"/>
              <w:autoSpaceDN w:val="0"/>
              <w:adjustRightInd w:val="0"/>
              <w:snapToGrid w:val="0"/>
              <w:spacing w:line="360" w:lineRule="auto"/>
              <w:jc w:val="left"/>
              <w:rPr>
                <w:rFonts w:ascii="宋体" w:cs="MingLiU"/>
                <w:color w:val="auto"/>
                <w:kern w:val="0"/>
                <w:szCs w:val="21"/>
                <w:highlight w:val="none"/>
              </w:rPr>
            </w:pPr>
            <w:r>
              <w:rPr>
                <w:rFonts w:hint="eastAsia" w:ascii="宋体" w:cs="MingLiU"/>
                <w:color w:val="auto"/>
                <w:kern w:val="0"/>
                <w:szCs w:val="21"/>
                <w:highlight w:val="none"/>
              </w:rPr>
              <w:t>（正、反面）</w:t>
            </w:r>
          </w:p>
          <w:p w14:paraId="3AADE754">
            <w:pPr>
              <w:spacing w:line="360" w:lineRule="auto"/>
              <w:rPr>
                <w:rFonts w:ascii="宋体" w:hAnsi="宋体"/>
                <w:b/>
                <w:color w:val="auto"/>
                <w:sz w:val="28"/>
                <w:highlight w:val="none"/>
              </w:rPr>
            </w:pPr>
          </w:p>
        </w:tc>
      </w:tr>
    </w:tbl>
    <w:p w14:paraId="3636490A">
      <w:pPr>
        <w:tabs>
          <w:tab w:val="left" w:pos="4005"/>
          <w:tab w:val="left" w:pos="4100"/>
          <w:tab w:val="left" w:pos="5040"/>
        </w:tabs>
        <w:autoSpaceDE w:val="0"/>
        <w:autoSpaceDN w:val="0"/>
        <w:adjustRightInd w:val="0"/>
        <w:snapToGrid w:val="0"/>
        <w:spacing w:line="360" w:lineRule="auto"/>
        <w:rPr>
          <w:rFonts w:ascii="宋体" w:cs="MingLiU"/>
          <w:color w:val="auto"/>
          <w:kern w:val="0"/>
          <w:szCs w:val="21"/>
          <w:highlight w:val="none"/>
        </w:rPr>
      </w:pPr>
    </w:p>
    <w:p w14:paraId="7F62A117">
      <w:pPr>
        <w:tabs>
          <w:tab w:val="left" w:pos="4005"/>
          <w:tab w:val="left" w:pos="4100"/>
          <w:tab w:val="left" w:pos="5040"/>
        </w:tabs>
        <w:autoSpaceDE w:val="0"/>
        <w:autoSpaceDN w:val="0"/>
        <w:adjustRightInd w:val="0"/>
        <w:snapToGrid w:val="0"/>
        <w:spacing w:line="360" w:lineRule="auto"/>
        <w:jc w:val="right"/>
        <w:rPr>
          <w:rFonts w:ascii="宋体" w:hAnsi="宋体" w:cs="MingLiU"/>
          <w:color w:val="auto"/>
          <w:kern w:val="0"/>
          <w:szCs w:val="21"/>
          <w:highlight w:val="none"/>
        </w:rPr>
      </w:pPr>
      <w:r>
        <w:rPr>
          <w:rFonts w:hint="eastAsia" w:ascii="宋体" w:cs="MingLiU"/>
          <w:color w:val="auto"/>
          <w:kern w:val="0"/>
          <w:szCs w:val="21"/>
          <w:highlight w:val="none"/>
        </w:rPr>
        <w:t>年  月  日</w:t>
      </w:r>
    </w:p>
    <w:p w14:paraId="6BFF4656">
      <w:pPr>
        <w:autoSpaceDE w:val="0"/>
        <w:autoSpaceDN w:val="0"/>
        <w:adjustRightInd w:val="0"/>
        <w:snapToGrid w:val="0"/>
        <w:spacing w:line="360" w:lineRule="auto"/>
        <w:jc w:val="left"/>
        <w:rPr>
          <w:rFonts w:ascii="宋体" w:hAnsi="宋体" w:cs="MingLiU"/>
          <w:color w:val="auto"/>
          <w:kern w:val="0"/>
          <w:szCs w:val="21"/>
          <w:highlight w:val="none"/>
        </w:rPr>
      </w:pPr>
    </w:p>
    <w:p w14:paraId="0CC0B2FA">
      <w:pPr>
        <w:autoSpaceDE w:val="0"/>
        <w:autoSpaceDN w:val="0"/>
        <w:adjustRightInd w:val="0"/>
        <w:snapToGrid w:val="0"/>
        <w:spacing w:line="360" w:lineRule="auto"/>
        <w:jc w:val="left"/>
        <w:rPr>
          <w:rFonts w:ascii="宋体" w:hAnsi="宋体" w:cs="MingLiU"/>
          <w:color w:val="auto"/>
          <w:kern w:val="0"/>
          <w:szCs w:val="21"/>
          <w:highlight w:val="none"/>
        </w:rPr>
      </w:pPr>
      <w:r>
        <w:rPr>
          <w:rFonts w:hint="eastAsia" w:ascii="宋体" w:hAnsi="宋体" w:cs="MingLiU"/>
          <w:color w:val="auto"/>
          <w:kern w:val="0"/>
          <w:szCs w:val="21"/>
          <w:highlight w:val="none"/>
        </w:rPr>
        <w:t>注：</w:t>
      </w:r>
    </w:p>
    <w:p w14:paraId="02CA4AE8">
      <w:pPr>
        <w:autoSpaceDE w:val="0"/>
        <w:autoSpaceDN w:val="0"/>
        <w:adjustRightInd w:val="0"/>
        <w:snapToGrid w:val="0"/>
        <w:spacing w:line="360" w:lineRule="auto"/>
        <w:jc w:val="left"/>
        <w:rPr>
          <w:rFonts w:hint="eastAsia" w:ascii="宋体" w:hAnsi="宋体" w:eastAsia="宋体" w:cs="MingLiU"/>
          <w:color w:val="auto"/>
          <w:kern w:val="0"/>
          <w:szCs w:val="21"/>
          <w:highlight w:val="none"/>
          <w:lang w:eastAsia="zh-CN"/>
        </w:rPr>
      </w:pPr>
      <w:r>
        <w:rPr>
          <w:rFonts w:hint="eastAsia" w:ascii="宋体" w:hAnsi="宋体" w:cs="MingLiU"/>
          <w:color w:val="auto"/>
          <w:kern w:val="0"/>
          <w:szCs w:val="21"/>
          <w:highlight w:val="none"/>
        </w:rPr>
        <w:t xml:space="preserve">    1、法定代表人参加投标活动并签署文件的不需要授权委托书，只需提供法定代表人身份证明；非法定代表人参加投标活动及签署文件的除提供法定代表人身份证明外还须提供授权委托书。法定代表人的签</w:t>
      </w:r>
      <w:r>
        <w:rPr>
          <w:rFonts w:hint="eastAsia" w:ascii="宋体" w:hAnsi="宋体" w:cs="MingLiU"/>
          <w:color w:val="auto"/>
          <w:kern w:val="0"/>
          <w:szCs w:val="21"/>
          <w:highlight w:val="none"/>
          <w:lang w:eastAsia="zh-CN"/>
        </w:rPr>
        <w:t>名</w:t>
      </w:r>
      <w:r>
        <w:rPr>
          <w:rFonts w:hint="eastAsia" w:ascii="宋体" w:hAnsi="宋体" w:cs="MingLiU"/>
          <w:color w:val="auto"/>
          <w:kern w:val="0"/>
          <w:szCs w:val="21"/>
          <w:highlight w:val="none"/>
        </w:rPr>
        <w:t>必须是亲笔签名，不得使用印章、签名章或其他电子制版签名</w:t>
      </w:r>
      <w:r>
        <w:rPr>
          <w:rFonts w:hint="eastAsia" w:ascii="宋体" w:hAnsi="宋体" w:cs="MingLiU"/>
          <w:color w:val="auto"/>
          <w:kern w:val="0"/>
          <w:szCs w:val="21"/>
          <w:highlight w:val="none"/>
          <w:lang w:eastAsia="zh-CN"/>
        </w:rPr>
        <w:t>，否则</w:t>
      </w:r>
      <w:r>
        <w:rPr>
          <w:rFonts w:hint="eastAsia" w:hAnsi="宋体" w:eastAsia="宋体"/>
          <w:color w:val="auto"/>
          <w:sz w:val="21"/>
          <w:szCs w:val="21"/>
          <w:highlight w:val="none"/>
        </w:rPr>
        <w:t>由评标委员会作否决投标处理</w:t>
      </w:r>
      <w:r>
        <w:rPr>
          <w:rFonts w:hint="eastAsia" w:hAnsi="宋体"/>
          <w:color w:val="auto"/>
          <w:sz w:val="21"/>
          <w:szCs w:val="21"/>
          <w:highlight w:val="none"/>
          <w:lang w:eastAsia="zh-CN"/>
        </w:rPr>
        <w:t>。</w:t>
      </w:r>
    </w:p>
    <w:p w14:paraId="7DEE1B52">
      <w:pPr>
        <w:autoSpaceDE w:val="0"/>
        <w:autoSpaceDN w:val="0"/>
        <w:adjustRightInd w:val="0"/>
        <w:snapToGrid w:val="0"/>
        <w:spacing w:line="360" w:lineRule="auto"/>
        <w:jc w:val="left"/>
        <w:rPr>
          <w:rFonts w:ascii="宋体" w:hAnsi="宋体" w:cs="MingLiU"/>
          <w:color w:val="auto"/>
          <w:kern w:val="0"/>
          <w:szCs w:val="21"/>
          <w:highlight w:val="none"/>
        </w:rPr>
      </w:pPr>
      <w:r>
        <w:rPr>
          <w:rFonts w:hint="eastAsia" w:ascii="宋体" w:hAnsi="宋体" w:cs="MingLiU"/>
          <w:color w:val="auto"/>
          <w:kern w:val="0"/>
          <w:szCs w:val="21"/>
          <w:highlight w:val="none"/>
        </w:rPr>
        <w:t xml:space="preserve">    2、法定代表人身份证明及授权委托书原件装入比选申请文件一并递交。另外须准备一份在开标现场出具，否则当初退还其比选申请文件。</w:t>
      </w:r>
    </w:p>
    <w:p w14:paraId="163C70C7">
      <w:pPr>
        <w:tabs>
          <w:tab w:val="left" w:pos="5760"/>
        </w:tabs>
        <w:autoSpaceDE w:val="0"/>
        <w:autoSpaceDN w:val="0"/>
        <w:adjustRightInd w:val="0"/>
        <w:spacing w:line="300" w:lineRule="exact"/>
        <w:ind w:left="820" w:leftChars="253" w:right="11" w:hanging="289" w:hangingChars="138"/>
        <w:rPr>
          <w:rFonts w:ascii="宋体" w:hAnsi="宋体" w:cs="MingLiU"/>
          <w:color w:val="auto"/>
          <w:kern w:val="0"/>
          <w:szCs w:val="21"/>
          <w:highlight w:val="none"/>
        </w:rPr>
      </w:pPr>
    </w:p>
    <w:p w14:paraId="0EB23E6F">
      <w:pPr>
        <w:autoSpaceDE w:val="0"/>
        <w:autoSpaceDN w:val="0"/>
        <w:adjustRightInd w:val="0"/>
        <w:spacing w:line="360" w:lineRule="auto"/>
        <w:ind w:right="-20"/>
        <w:jc w:val="center"/>
        <w:outlineLvl w:val="0"/>
        <w:rPr>
          <w:rFonts w:ascii="宋体"/>
          <w:b/>
          <w:bCs/>
          <w:color w:val="auto"/>
          <w:sz w:val="32"/>
          <w:szCs w:val="32"/>
          <w:highlight w:val="none"/>
        </w:rPr>
      </w:pPr>
      <w:r>
        <w:rPr>
          <w:color w:val="auto"/>
          <w:highlight w:val="none"/>
        </w:rPr>
        <w:br w:type="page"/>
      </w:r>
      <w:bookmarkStart w:id="3034" w:name="_Toc3607"/>
      <w:bookmarkStart w:id="3035" w:name="_Toc30419"/>
      <w:bookmarkStart w:id="3036" w:name="_Toc3883"/>
      <w:bookmarkStart w:id="3037" w:name="_Toc483489918"/>
      <w:bookmarkStart w:id="3038" w:name="_Toc224103513"/>
      <w:bookmarkStart w:id="3039" w:name="_Toc8191"/>
      <w:bookmarkStart w:id="3040" w:name="_Toc493602582"/>
      <w:r>
        <w:rPr>
          <w:rFonts w:hint="eastAsia" w:ascii="宋体"/>
          <w:b/>
          <w:bCs/>
          <w:color w:val="auto"/>
          <w:sz w:val="32"/>
          <w:szCs w:val="32"/>
          <w:highlight w:val="none"/>
        </w:rPr>
        <w:t>（二）比选申请人基本情况表</w:t>
      </w:r>
      <w:bookmarkEnd w:id="3034"/>
      <w:bookmarkEnd w:id="3035"/>
      <w:bookmarkEnd w:id="3036"/>
    </w:p>
    <w:tbl>
      <w:tblPr>
        <w:tblStyle w:val="46"/>
        <w:tblpPr w:leftFromText="180" w:rightFromText="180" w:vertAnchor="page" w:horzAnchor="margin" w:tblpXSpec="center" w:tblpY="2330"/>
        <w:tblW w:w="8568" w:type="dxa"/>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3EC5B71">
        <w:tblPrEx>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DDF23C0">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比选申请人名称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49DB67EA">
            <w:pPr>
              <w:autoSpaceDE w:val="0"/>
              <w:autoSpaceDN w:val="0"/>
              <w:adjustRightInd w:val="0"/>
              <w:snapToGrid w:val="0"/>
              <w:spacing w:line="360" w:lineRule="auto"/>
              <w:jc w:val="center"/>
              <w:rPr>
                <w:rFonts w:ascii="宋体" w:hAnsi="宋体"/>
                <w:color w:val="auto"/>
                <w:kern w:val="0"/>
                <w:szCs w:val="21"/>
                <w:highlight w:val="none"/>
              </w:rPr>
            </w:pPr>
          </w:p>
        </w:tc>
      </w:tr>
      <w:tr w14:paraId="078442CF">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0D361C50">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6FD1EA13">
            <w:pPr>
              <w:autoSpaceDE w:val="0"/>
              <w:autoSpaceDN w:val="0"/>
              <w:adjustRightInd w:val="0"/>
              <w:snapToGrid w:val="0"/>
              <w:spacing w:line="360" w:lineRule="auto"/>
              <w:jc w:val="center"/>
              <w:rPr>
                <w:rFonts w:ascii="宋体" w:hAnsi="宋体"/>
                <w:color w:val="auto"/>
                <w:kern w:val="0"/>
                <w:szCs w:val="21"/>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67B283D">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0E61C000">
            <w:pPr>
              <w:autoSpaceDE w:val="0"/>
              <w:autoSpaceDN w:val="0"/>
              <w:adjustRightInd w:val="0"/>
              <w:snapToGrid w:val="0"/>
              <w:spacing w:line="360" w:lineRule="auto"/>
              <w:jc w:val="center"/>
              <w:rPr>
                <w:rFonts w:ascii="宋体" w:hAnsi="宋体"/>
                <w:color w:val="auto"/>
                <w:kern w:val="0"/>
                <w:szCs w:val="21"/>
                <w:highlight w:val="none"/>
              </w:rPr>
            </w:pPr>
          </w:p>
        </w:tc>
      </w:tr>
      <w:tr w14:paraId="66B35912">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16017366">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6EF3FC3E">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758C323D">
            <w:pPr>
              <w:autoSpaceDE w:val="0"/>
              <w:autoSpaceDN w:val="0"/>
              <w:adjustRightInd w:val="0"/>
              <w:snapToGrid w:val="0"/>
              <w:spacing w:line="360" w:lineRule="auto"/>
              <w:jc w:val="center"/>
              <w:rPr>
                <w:rFonts w:ascii="宋体" w:hAnsi="宋体"/>
                <w:color w:val="auto"/>
                <w:kern w:val="0"/>
                <w:szCs w:val="21"/>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CD66830">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7DBA7409">
            <w:pPr>
              <w:autoSpaceDE w:val="0"/>
              <w:autoSpaceDN w:val="0"/>
              <w:adjustRightInd w:val="0"/>
              <w:snapToGrid w:val="0"/>
              <w:spacing w:line="360" w:lineRule="auto"/>
              <w:jc w:val="center"/>
              <w:rPr>
                <w:rFonts w:ascii="宋体" w:hAnsi="宋体"/>
                <w:color w:val="auto"/>
                <w:kern w:val="0"/>
                <w:szCs w:val="21"/>
                <w:highlight w:val="none"/>
              </w:rPr>
            </w:pPr>
          </w:p>
        </w:tc>
      </w:tr>
      <w:tr w14:paraId="17403FD7">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612DDCA4">
            <w:pPr>
              <w:widowControl/>
              <w:jc w:val="left"/>
              <w:rPr>
                <w:rFonts w:ascii="宋体" w:hAnsi="宋体"/>
                <w:color w:val="auto"/>
                <w:kern w:val="0"/>
                <w:szCs w:val="21"/>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34D01A13">
            <w:pPr>
              <w:tabs>
                <w:tab w:val="left" w:pos="540"/>
              </w:tabs>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传</w:t>
            </w:r>
            <w:r>
              <w:rPr>
                <w:rFonts w:hint="eastAsia" w:ascii="宋体" w:hAnsi="宋体"/>
                <w:color w:val="auto"/>
                <w:kern w:val="0"/>
                <w:szCs w:val="21"/>
                <w:highlight w:val="none"/>
              </w:rPr>
              <w:tab/>
            </w:r>
            <w:r>
              <w:rPr>
                <w:rFonts w:hint="eastAsia" w:ascii="宋体" w:hAnsi="宋体" w:cs="MingLiU"/>
                <w:color w:val="auto"/>
                <w:kern w:val="0"/>
                <w:szCs w:val="21"/>
                <w:highlight w:val="none"/>
              </w:rPr>
              <w:t>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58C10D6E">
            <w:pPr>
              <w:autoSpaceDE w:val="0"/>
              <w:autoSpaceDN w:val="0"/>
              <w:adjustRightInd w:val="0"/>
              <w:snapToGrid w:val="0"/>
              <w:spacing w:line="360" w:lineRule="auto"/>
              <w:jc w:val="center"/>
              <w:rPr>
                <w:rFonts w:ascii="宋体" w:hAnsi="宋体"/>
                <w:color w:val="auto"/>
                <w:kern w:val="0"/>
                <w:szCs w:val="21"/>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837DF44">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5A72082D">
            <w:pPr>
              <w:autoSpaceDE w:val="0"/>
              <w:autoSpaceDN w:val="0"/>
              <w:adjustRightInd w:val="0"/>
              <w:snapToGrid w:val="0"/>
              <w:spacing w:line="360" w:lineRule="auto"/>
              <w:jc w:val="center"/>
              <w:rPr>
                <w:rFonts w:ascii="宋体" w:hAnsi="宋体"/>
                <w:color w:val="auto"/>
                <w:kern w:val="0"/>
                <w:szCs w:val="21"/>
                <w:highlight w:val="none"/>
              </w:rPr>
            </w:pPr>
          </w:p>
        </w:tc>
      </w:tr>
      <w:tr w14:paraId="4ADD97FE">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028E4EB">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6D2B6820">
            <w:pPr>
              <w:autoSpaceDE w:val="0"/>
              <w:autoSpaceDN w:val="0"/>
              <w:adjustRightInd w:val="0"/>
              <w:snapToGrid w:val="0"/>
              <w:spacing w:line="360" w:lineRule="auto"/>
              <w:jc w:val="center"/>
              <w:rPr>
                <w:rFonts w:ascii="宋体" w:hAnsi="宋体"/>
                <w:color w:val="auto"/>
                <w:kern w:val="0"/>
                <w:szCs w:val="21"/>
                <w:highlight w:val="none"/>
              </w:rPr>
            </w:pPr>
          </w:p>
        </w:tc>
      </w:tr>
      <w:tr w14:paraId="27B507FA">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0563E989">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4F4B0D70">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EC2C8BB">
            <w:pPr>
              <w:autoSpaceDE w:val="0"/>
              <w:autoSpaceDN w:val="0"/>
              <w:adjustRightInd w:val="0"/>
              <w:snapToGrid w:val="0"/>
              <w:spacing w:line="360" w:lineRule="auto"/>
              <w:jc w:val="center"/>
              <w:rPr>
                <w:rFonts w:ascii="宋体" w:hAnsi="宋体"/>
                <w:color w:val="auto"/>
                <w:kern w:val="0"/>
                <w:szCs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1FB984C">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1EF9C9FB">
            <w:pPr>
              <w:autoSpaceDE w:val="0"/>
              <w:autoSpaceDN w:val="0"/>
              <w:adjustRightInd w:val="0"/>
              <w:snapToGrid w:val="0"/>
              <w:spacing w:line="360" w:lineRule="auto"/>
              <w:jc w:val="center"/>
              <w:rPr>
                <w:rFonts w:ascii="宋体" w:hAnsi="宋体"/>
                <w:color w:val="auto"/>
                <w:kern w:val="0"/>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19033C7">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6C05BB4">
            <w:pPr>
              <w:autoSpaceDE w:val="0"/>
              <w:autoSpaceDN w:val="0"/>
              <w:adjustRightInd w:val="0"/>
              <w:snapToGrid w:val="0"/>
              <w:spacing w:line="360" w:lineRule="auto"/>
              <w:jc w:val="center"/>
              <w:rPr>
                <w:rFonts w:ascii="宋体" w:hAnsi="宋体"/>
                <w:color w:val="auto"/>
                <w:kern w:val="0"/>
                <w:szCs w:val="21"/>
                <w:highlight w:val="none"/>
              </w:rPr>
            </w:pPr>
          </w:p>
        </w:tc>
      </w:tr>
      <w:tr w14:paraId="4BF692F6">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C52062D">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4374E24D">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94DE41A">
            <w:pPr>
              <w:autoSpaceDE w:val="0"/>
              <w:autoSpaceDN w:val="0"/>
              <w:adjustRightInd w:val="0"/>
              <w:snapToGrid w:val="0"/>
              <w:spacing w:line="360" w:lineRule="auto"/>
              <w:jc w:val="center"/>
              <w:rPr>
                <w:rFonts w:ascii="宋体" w:hAnsi="宋体"/>
                <w:color w:val="auto"/>
                <w:kern w:val="0"/>
                <w:szCs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68F63A5">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7A004952">
            <w:pPr>
              <w:autoSpaceDE w:val="0"/>
              <w:autoSpaceDN w:val="0"/>
              <w:adjustRightInd w:val="0"/>
              <w:snapToGrid w:val="0"/>
              <w:spacing w:line="360" w:lineRule="auto"/>
              <w:jc w:val="center"/>
              <w:rPr>
                <w:rFonts w:ascii="宋体" w:hAnsi="宋体"/>
                <w:color w:val="auto"/>
                <w:kern w:val="0"/>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DC7A87F">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45E0C806">
            <w:pPr>
              <w:autoSpaceDE w:val="0"/>
              <w:autoSpaceDN w:val="0"/>
              <w:adjustRightInd w:val="0"/>
              <w:snapToGrid w:val="0"/>
              <w:spacing w:line="360" w:lineRule="auto"/>
              <w:jc w:val="center"/>
              <w:rPr>
                <w:rFonts w:ascii="宋体" w:hAnsi="宋体"/>
                <w:color w:val="auto"/>
                <w:kern w:val="0"/>
                <w:szCs w:val="21"/>
                <w:highlight w:val="none"/>
              </w:rPr>
            </w:pPr>
          </w:p>
        </w:tc>
      </w:tr>
      <w:tr w14:paraId="0C04812E">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51EA07A5">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54FD9FA0">
            <w:pPr>
              <w:autoSpaceDE w:val="0"/>
              <w:autoSpaceDN w:val="0"/>
              <w:adjustRightInd w:val="0"/>
              <w:snapToGrid w:val="0"/>
              <w:spacing w:line="360" w:lineRule="auto"/>
              <w:jc w:val="center"/>
              <w:rPr>
                <w:rFonts w:ascii="宋体" w:hAnsi="宋体"/>
                <w:color w:val="auto"/>
                <w:kern w:val="0"/>
                <w:szCs w:val="21"/>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6FCE8E03">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190B0135">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43C28281">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8AC8535">
            <w:pPr>
              <w:autoSpaceDE w:val="0"/>
              <w:autoSpaceDN w:val="0"/>
              <w:adjustRightInd w:val="0"/>
              <w:snapToGrid w:val="0"/>
              <w:spacing w:line="360" w:lineRule="auto"/>
              <w:jc w:val="center"/>
              <w:rPr>
                <w:rFonts w:ascii="宋体" w:hAnsi="宋体"/>
                <w:color w:val="auto"/>
                <w:kern w:val="0"/>
                <w:szCs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66BEF7BF">
            <w:pPr>
              <w:autoSpaceDE w:val="0"/>
              <w:autoSpaceDN w:val="0"/>
              <w:adjustRightInd w:val="0"/>
              <w:snapToGrid w:val="0"/>
              <w:spacing w:line="360" w:lineRule="auto"/>
              <w:jc w:val="center"/>
              <w:rPr>
                <w:rFonts w:ascii="宋体" w:hAnsi="宋体"/>
                <w:color w:val="auto"/>
                <w:kern w:val="0"/>
                <w:szCs w:val="21"/>
                <w:highlight w:val="none"/>
              </w:rPr>
            </w:pPr>
          </w:p>
          <w:p w14:paraId="18E2067D">
            <w:pPr>
              <w:autoSpaceDE w:val="0"/>
              <w:autoSpaceDN w:val="0"/>
              <w:adjustRightInd w:val="0"/>
              <w:snapToGrid w:val="0"/>
              <w:spacing w:line="360" w:lineRule="auto"/>
              <w:jc w:val="center"/>
              <w:rPr>
                <w:rFonts w:ascii="宋体" w:hAnsi="宋体"/>
                <w:color w:val="auto"/>
                <w:kern w:val="0"/>
                <w:szCs w:val="21"/>
                <w:highlight w:val="none"/>
              </w:rPr>
            </w:pPr>
          </w:p>
          <w:p w14:paraId="22A4F144">
            <w:pPr>
              <w:autoSpaceDE w:val="0"/>
              <w:autoSpaceDN w:val="0"/>
              <w:adjustRightInd w:val="0"/>
              <w:snapToGrid w:val="0"/>
              <w:spacing w:line="360" w:lineRule="auto"/>
              <w:jc w:val="center"/>
              <w:rPr>
                <w:rFonts w:ascii="宋体" w:hAnsi="宋体"/>
                <w:color w:val="auto"/>
                <w:kern w:val="0"/>
                <w:szCs w:val="21"/>
                <w:highlight w:val="none"/>
              </w:rPr>
            </w:pPr>
          </w:p>
          <w:p w14:paraId="5300FDF3">
            <w:pPr>
              <w:autoSpaceDE w:val="0"/>
              <w:autoSpaceDN w:val="0"/>
              <w:adjustRightInd w:val="0"/>
              <w:snapToGrid w:val="0"/>
              <w:spacing w:line="360" w:lineRule="auto"/>
              <w:jc w:val="center"/>
              <w:rPr>
                <w:rFonts w:ascii="宋体" w:hAnsi="宋体"/>
                <w:color w:val="auto"/>
                <w:kern w:val="0"/>
                <w:szCs w:val="21"/>
                <w:highlight w:val="none"/>
              </w:rPr>
            </w:pPr>
          </w:p>
          <w:p w14:paraId="58BA4253">
            <w:pPr>
              <w:autoSpaceDE w:val="0"/>
              <w:autoSpaceDN w:val="0"/>
              <w:adjustRightInd w:val="0"/>
              <w:snapToGrid w:val="0"/>
              <w:spacing w:line="360" w:lineRule="auto"/>
              <w:jc w:val="center"/>
              <w:rPr>
                <w:rFonts w:ascii="宋体" w:hAnsi="宋体"/>
                <w:color w:val="auto"/>
                <w:kern w:val="0"/>
                <w:szCs w:val="21"/>
                <w:highlight w:val="none"/>
              </w:rPr>
            </w:pPr>
          </w:p>
          <w:p w14:paraId="24CE7E20">
            <w:pPr>
              <w:autoSpaceDE w:val="0"/>
              <w:autoSpaceDN w:val="0"/>
              <w:adjustRightInd w:val="0"/>
              <w:snapToGrid w:val="0"/>
              <w:spacing w:line="360" w:lineRule="auto"/>
              <w:jc w:val="center"/>
              <w:rPr>
                <w:rFonts w:ascii="宋体" w:hAnsi="宋体"/>
                <w:color w:val="auto"/>
                <w:kern w:val="0"/>
                <w:szCs w:val="21"/>
                <w:highlight w:val="none"/>
              </w:rPr>
            </w:pPr>
          </w:p>
          <w:p w14:paraId="416C9786">
            <w:pPr>
              <w:autoSpaceDE w:val="0"/>
              <w:autoSpaceDN w:val="0"/>
              <w:adjustRightInd w:val="0"/>
              <w:snapToGrid w:val="0"/>
              <w:spacing w:line="360" w:lineRule="auto"/>
              <w:jc w:val="center"/>
              <w:rPr>
                <w:rFonts w:ascii="宋体" w:hAnsi="宋体"/>
                <w:color w:val="auto"/>
                <w:kern w:val="0"/>
                <w:szCs w:val="21"/>
                <w:highlight w:val="none"/>
              </w:rPr>
            </w:pPr>
          </w:p>
          <w:p w14:paraId="0E3C24FA">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BCF6DA4">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918F1B3">
            <w:pPr>
              <w:autoSpaceDE w:val="0"/>
              <w:autoSpaceDN w:val="0"/>
              <w:adjustRightInd w:val="0"/>
              <w:snapToGrid w:val="0"/>
              <w:spacing w:line="360" w:lineRule="auto"/>
              <w:jc w:val="center"/>
              <w:rPr>
                <w:rFonts w:ascii="宋体" w:hAnsi="宋体"/>
                <w:color w:val="auto"/>
                <w:kern w:val="0"/>
                <w:szCs w:val="21"/>
                <w:highlight w:val="none"/>
              </w:rPr>
            </w:pPr>
          </w:p>
        </w:tc>
      </w:tr>
      <w:tr w14:paraId="3D3C928E">
        <w:tblPrEx>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4ADD395D">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538A3296">
            <w:pPr>
              <w:autoSpaceDE w:val="0"/>
              <w:autoSpaceDN w:val="0"/>
              <w:adjustRightInd w:val="0"/>
              <w:snapToGrid w:val="0"/>
              <w:spacing w:line="360" w:lineRule="auto"/>
              <w:jc w:val="center"/>
              <w:rPr>
                <w:rFonts w:ascii="宋体" w:hAnsi="宋体"/>
                <w:color w:val="auto"/>
                <w:kern w:val="0"/>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1FFF809">
            <w:pPr>
              <w:widowControl/>
              <w:jc w:val="left"/>
              <w:rPr>
                <w:rFonts w:ascii="宋体" w:hAnsi="宋体"/>
                <w:color w:val="auto"/>
                <w:kern w:val="0"/>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A3F1E13">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159B88B">
            <w:pPr>
              <w:autoSpaceDE w:val="0"/>
              <w:autoSpaceDN w:val="0"/>
              <w:adjustRightInd w:val="0"/>
              <w:snapToGrid w:val="0"/>
              <w:spacing w:line="360" w:lineRule="auto"/>
              <w:jc w:val="center"/>
              <w:rPr>
                <w:rFonts w:ascii="宋体" w:hAnsi="宋体"/>
                <w:color w:val="auto"/>
                <w:kern w:val="0"/>
                <w:szCs w:val="21"/>
                <w:highlight w:val="none"/>
              </w:rPr>
            </w:pPr>
          </w:p>
        </w:tc>
      </w:tr>
      <w:tr w14:paraId="05962864">
        <w:tblPrEx>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2C8F8B4C">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A2C3C5E">
            <w:pPr>
              <w:autoSpaceDE w:val="0"/>
              <w:autoSpaceDN w:val="0"/>
              <w:adjustRightInd w:val="0"/>
              <w:snapToGrid w:val="0"/>
              <w:spacing w:line="360" w:lineRule="auto"/>
              <w:jc w:val="center"/>
              <w:rPr>
                <w:rFonts w:ascii="宋体" w:hAnsi="宋体"/>
                <w:color w:val="auto"/>
                <w:kern w:val="0"/>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0981633">
            <w:pPr>
              <w:widowControl/>
              <w:jc w:val="left"/>
              <w:rPr>
                <w:rFonts w:ascii="宋体" w:hAnsi="宋体"/>
                <w:color w:val="auto"/>
                <w:kern w:val="0"/>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63527B72">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3C8C67B">
            <w:pPr>
              <w:autoSpaceDE w:val="0"/>
              <w:autoSpaceDN w:val="0"/>
              <w:adjustRightInd w:val="0"/>
              <w:snapToGrid w:val="0"/>
              <w:spacing w:line="360" w:lineRule="auto"/>
              <w:jc w:val="center"/>
              <w:rPr>
                <w:rFonts w:ascii="宋体" w:hAnsi="宋体"/>
                <w:color w:val="auto"/>
                <w:kern w:val="0"/>
                <w:szCs w:val="21"/>
                <w:highlight w:val="none"/>
              </w:rPr>
            </w:pPr>
          </w:p>
        </w:tc>
      </w:tr>
      <w:tr w14:paraId="3B120259">
        <w:tblPrEx>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3023EECB">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C998CC8">
            <w:pPr>
              <w:autoSpaceDE w:val="0"/>
              <w:autoSpaceDN w:val="0"/>
              <w:adjustRightInd w:val="0"/>
              <w:snapToGrid w:val="0"/>
              <w:spacing w:line="360" w:lineRule="auto"/>
              <w:jc w:val="center"/>
              <w:rPr>
                <w:rFonts w:ascii="宋体" w:hAnsi="宋体"/>
                <w:color w:val="auto"/>
                <w:kern w:val="0"/>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E7FB622">
            <w:pPr>
              <w:widowControl/>
              <w:jc w:val="left"/>
              <w:rPr>
                <w:rFonts w:ascii="宋体" w:hAnsi="宋体"/>
                <w:color w:val="auto"/>
                <w:kern w:val="0"/>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C9CBA48">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4483A20">
            <w:pPr>
              <w:autoSpaceDE w:val="0"/>
              <w:autoSpaceDN w:val="0"/>
              <w:adjustRightInd w:val="0"/>
              <w:snapToGrid w:val="0"/>
              <w:spacing w:line="360" w:lineRule="auto"/>
              <w:jc w:val="center"/>
              <w:rPr>
                <w:rFonts w:ascii="宋体" w:hAnsi="宋体"/>
                <w:color w:val="auto"/>
                <w:kern w:val="0"/>
                <w:szCs w:val="21"/>
                <w:highlight w:val="none"/>
              </w:rPr>
            </w:pPr>
          </w:p>
        </w:tc>
      </w:tr>
      <w:tr w14:paraId="74EE31C5">
        <w:tblPrEx>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404DD26">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9956055">
            <w:pPr>
              <w:autoSpaceDE w:val="0"/>
              <w:autoSpaceDN w:val="0"/>
              <w:adjustRightInd w:val="0"/>
              <w:snapToGrid w:val="0"/>
              <w:spacing w:line="360" w:lineRule="auto"/>
              <w:jc w:val="center"/>
              <w:rPr>
                <w:rFonts w:ascii="宋体" w:hAnsi="宋体"/>
                <w:color w:val="auto"/>
                <w:kern w:val="0"/>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F937958">
            <w:pPr>
              <w:widowControl/>
              <w:jc w:val="left"/>
              <w:rPr>
                <w:rFonts w:ascii="宋体" w:hAnsi="宋体"/>
                <w:color w:val="auto"/>
                <w:kern w:val="0"/>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7621EC35">
            <w:pPr>
              <w:tabs>
                <w:tab w:val="left" w:pos="1240"/>
              </w:tabs>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hint="eastAsia" w:ascii="宋体" w:hAnsi="宋体"/>
                <w:color w:val="auto"/>
                <w:kern w:val="0"/>
                <w:szCs w:val="21"/>
                <w:highlight w:val="none"/>
              </w:rPr>
              <w:tab/>
            </w:r>
            <w:r>
              <w:rPr>
                <w:rFonts w:hint="eastAsia" w:ascii="宋体" w:hAnsi="宋体" w:cs="MingLiU"/>
                <w:color w:val="auto"/>
                <w:kern w:val="0"/>
                <w:szCs w:val="21"/>
                <w:highlight w:val="none"/>
              </w:rPr>
              <w:t>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078049B4">
            <w:pPr>
              <w:autoSpaceDE w:val="0"/>
              <w:autoSpaceDN w:val="0"/>
              <w:adjustRightInd w:val="0"/>
              <w:snapToGrid w:val="0"/>
              <w:spacing w:line="360" w:lineRule="auto"/>
              <w:jc w:val="center"/>
              <w:rPr>
                <w:rFonts w:ascii="宋体" w:hAnsi="宋体"/>
                <w:color w:val="auto"/>
                <w:kern w:val="0"/>
                <w:szCs w:val="21"/>
                <w:highlight w:val="none"/>
              </w:rPr>
            </w:pPr>
          </w:p>
        </w:tc>
      </w:tr>
      <w:tr w14:paraId="6035D058">
        <w:tblPrEx>
          <w:tblCellMar>
            <w:top w:w="0" w:type="dxa"/>
            <w:left w:w="0" w:type="dxa"/>
            <w:bottom w:w="0" w:type="dxa"/>
            <w:right w:w="0" w:type="dxa"/>
          </w:tblCellMar>
        </w:tblPrEx>
        <w:trPr>
          <w:trHeight w:val="1169"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1A67FE4">
            <w:pPr>
              <w:autoSpaceDE w:val="0"/>
              <w:autoSpaceDN w:val="0"/>
              <w:adjustRightInd w:val="0"/>
              <w:snapToGrid w:val="0"/>
              <w:spacing w:line="360" w:lineRule="auto"/>
              <w:jc w:val="center"/>
              <w:rPr>
                <w:rFonts w:ascii="宋体" w:hAnsi="宋体"/>
                <w:color w:val="auto"/>
                <w:kern w:val="0"/>
                <w:szCs w:val="21"/>
                <w:highlight w:val="none"/>
              </w:rPr>
            </w:pPr>
          </w:p>
          <w:p w14:paraId="3F445F47">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3465BB0E">
            <w:pPr>
              <w:autoSpaceDE w:val="0"/>
              <w:autoSpaceDN w:val="0"/>
              <w:adjustRightInd w:val="0"/>
              <w:snapToGrid w:val="0"/>
              <w:spacing w:line="360" w:lineRule="auto"/>
              <w:jc w:val="center"/>
              <w:rPr>
                <w:rFonts w:ascii="仿宋_GB2312" w:eastAsia="仿宋_GB2312"/>
                <w:color w:val="auto"/>
                <w:kern w:val="0"/>
                <w:szCs w:val="21"/>
                <w:highlight w:val="none"/>
              </w:rPr>
            </w:pPr>
          </w:p>
        </w:tc>
      </w:tr>
      <w:tr w14:paraId="3416BF07">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auto" w:sz="4" w:space="0"/>
              <w:right w:val="single" w:color="000000" w:sz="4" w:space="0"/>
            </w:tcBorders>
            <w:vAlign w:val="center"/>
          </w:tcPr>
          <w:p w14:paraId="7E7DFF06">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72689F47">
            <w:pPr>
              <w:autoSpaceDE w:val="0"/>
              <w:autoSpaceDN w:val="0"/>
              <w:adjustRightInd w:val="0"/>
              <w:snapToGrid w:val="0"/>
              <w:spacing w:line="360" w:lineRule="auto"/>
              <w:jc w:val="center"/>
              <w:rPr>
                <w:rFonts w:ascii="仿宋_GB2312" w:eastAsia="仿宋_GB2312"/>
                <w:color w:val="auto"/>
                <w:kern w:val="0"/>
                <w:szCs w:val="21"/>
                <w:highlight w:val="none"/>
              </w:rPr>
            </w:pPr>
          </w:p>
        </w:tc>
      </w:tr>
      <w:bookmarkEnd w:id="3037"/>
      <w:bookmarkEnd w:id="3038"/>
      <w:bookmarkEnd w:id="3039"/>
      <w:bookmarkEnd w:id="3040"/>
    </w:tbl>
    <w:p w14:paraId="7E4BDF4E">
      <w:pPr>
        <w:autoSpaceDE w:val="0"/>
        <w:autoSpaceDN w:val="0"/>
        <w:adjustRightInd w:val="0"/>
        <w:spacing w:line="360" w:lineRule="auto"/>
        <w:ind w:right="-20"/>
        <w:outlineLvl w:val="0"/>
        <w:rPr>
          <w:color w:val="auto"/>
          <w:highlight w:val="none"/>
        </w:rPr>
      </w:pPr>
      <w:bookmarkStart w:id="3041" w:name="_Toc8696"/>
      <w:bookmarkStart w:id="3042" w:name="_Toc505783806"/>
      <w:bookmarkStart w:id="3043" w:name="_Toc493602583"/>
      <w:bookmarkStart w:id="3044" w:name="_Toc224103514"/>
      <w:bookmarkStart w:id="3045" w:name="_Toc505076012"/>
      <w:bookmarkStart w:id="3046" w:name="_Toc483489919"/>
      <w:bookmarkStart w:id="3047" w:name="_Toc287607886"/>
    </w:p>
    <w:p w14:paraId="022C7B9E">
      <w:pPr>
        <w:pStyle w:val="45"/>
        <w:rPr>
          <w:color w:val="auto"/>
          <w:highlight w:val="none"/>
        </w:rPr>
      </w:pPr>
      <w:r>
        <w:rPr>
          <w:color w:val="auto"/>
          <w:highlight w:val="none"/>
        </w:rPr>
        <w:br w:type="page"/>
      </w:r>
    </w:p>
    <w:p w14:paraId="71F6960E">
      <w:pPr>
        <w:pStyle w:val="5"/>
        <w:jc w:val="center"/>
        <w:rPr>
          <w:rFonts w:ascii="宋体" w:hAnsi="宋体" w:cs="MingLiU"/>
          <w:color w:val="auto"/>
          <w:highlight w:val="none"/>
        </w:rPr>
      </w:pPr>
      <w:bookmarkStart w:id="3048" w:name="_Toc16000484"/>
      <w:bookmarkStart w:id="3049" w:name="_Toc22070"/>
      <w:bookmarkStart w:id="3050" w:name="_Toc30824"/>
      <w:bookmarkStart w:id="3051" w:name="_Toc7446"/>
      <w:r>
        <w:rPr>
          <w:rFonts w:hint="eastAsia"/>
          <w:color w:val="auto"/>
          <w:highlight w:val="none"/>
        </w:rPr>
        <w:t>（三）项目管理机构</w:t>
      </w:r>
      <w:bookmarkEnd w:id="3041"/>
      <w:bookmarkEnd w:id="3042"/>
      <w:bookmarkEnd w:id="3043"/>
      <w:bookmarkEnd w:id="3044"/>
      <w:bookmarkEnd w:id="3045"/>
      <w:bookmarkEnd w:id="3046"/>
      <w:bookmarkEnd w:id="3047"/>
      <w:bookmarkEnd w:id="3048"/>
      <w:bookmarkEnd w:id="3049"/>
      <w:bookmarkEnd w:id="3050"/>
      <w:bookmarkEnd w:id="3051"/>
    </w:p>
    <w:p w14:paraId="46A7C3D5">
      <w:pPr>
        <w:autoSpaceDE w:val="0"/>
        <w:autoSpaceDN w:val="0"/>
        <w:adjustRightInd w:val="0"/>
        <w:snapToGrid w:val="0"/>
        <w:spacing w:line="360" w:lineRule="auto"/>
        <w:jc w:val="center"/>
        <w:rPr>
          <w:rFonts w:ascii="宋体" w:hAnsi="宋体" w:cs="MingLiU"/>
          <w:b/>
          <w:color w:val="auto"/>
          <w:kern w:val="0"/>
          <w:sz w:val="28"/>
          <w:szCs w:val="28"/>
          <w:highlight w:val="none"/>
        </w:rPr>
      </w:pPr>
      <w:r>
        <w:rPr>
          <w:rFonts w:hint="eastAsia" w:ascii="宋体" w:hAnsi="宋体" w:cs="MingLiU"/>
          <w:b/>
          <w:color w:val="auto"/>
          <w:kern w:val="0"/>
          <w:sz w:val="28"/>
          <w:szCs w:val="28"/>
          <w:highlight w:val="none"/>
        </w:rPr>
        <w:t>项目管理机构组成表</w:t>
      </w:r>
    </w:p>
    <w:tbl>
      <w:tblPr>
        <w:tblStyle w:val="46"/>
        <w:tblW w:w="8523" w:type="dxa"/>
        <w:jc w:val="center"/>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14:paraId="73FFFEBA">
        <w:tblPrEx>
          <w:tblCellMar>
            <w:top w:w="0" w:type="dxa"/>
            <w:left w:w="0" w:type="dxa"/>
            <w:bottom w:w="0" w:type="dxa"/>
            <w:right w:w="0" w:type="dxa"/>
          </w:tblCellMar>
        </w:tblPrEx>
        <w:trPr>
          <w:cantSplit/>
          <w:trHeight w:val="450" w:hRule="exact"/>
          <w:jc w:val="center"/>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54A1C9CD">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5C4982B7">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4C315B88">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14:paraId="1DEEC308">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14:paraId="13057CB1">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备注</w:t>
            </w:r>
          </w:p>
        </w:tc>
      </w:tr>
      <w:tr w14:paraId="630686AA">
        <w:tblPrEx>
          <w:tblCellMar>
            <w:top w:w="0" w:type="dxa"/>
            <w:left w:w="0" w:type="dxa"/>
            <w:bottom w:w="0" w:type="dxa"/>
            <w:right w:w="0" w:type="dxa"/>
          </w:tblCellMar>
        </w:tblPrEx>
        <w:trPr>
          <w:cantSplit/>
          <w:trHeight w:val="957" w:hRule="exac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62357283">
            <w:pPr>
              <w:widowControl/>
              <w:jc w:val="left"/>
              <w:rPr>
                <w:rFonts w:ascii="宋体" w:hAnsi="宋体"/>
                <w:b/>
                <w:color w:val="auto"/>
                <w:kern w:val="0"/>
                <w:sz w:val="24"/>
                <w:highlight w:val="none"/>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2878491A">
            <w:pPr>
              <w:widowControl/>
              <w:jc w:val="left"/>
              <w:rPr>
                <w:rFonts w:ascii="宋体" w:hAnsi="宋体"/>
                <w:b/>
                <w:color w:val="auto"/>
                <w:kern w:val="0"/>
                <w:sz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97C4DA2">
            <w:pPr>
              <w:widowControl/>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C11E53C">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14:paraId="33D8F0F5">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14:paraId="4F99A1B4">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14:paraId="3565430A">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14:paraId="5E01DE8A">
            <w:pPr>
              <w:autoSpaceDE w:val="0"/>
              <w:autoSpaceDN w:val="0"/>
              <w:adjustRightInd w:val="0"/>
              <w:snapToGrid w:val="0"/>
              <w:spacing w:line="360" w:lineRule="auto"/>
              <w:jc w:val="center"/>
              <w:rPr>
                <w:rFonts w:ascii="宋体" w:hAnsi="宋体"/>
                <w:b/>
                <w:color w:val="auto"/>
                <w:kern w:val="0"/>
                <w:sz w:val="24"/>
                <w:highlight w:val="none"/>
              </w:rPr>
            </w:pPr>
            <w:r>
              <w:rPr>
                <w:rFonts w:hint="eastAsia" w:ascii="宋体" w:hAnsi="宋体" w:cs="MingLiU"/>
                <w:b/>
                <w:color w:val="auto"/>
                <w:kern w:val="0"/>
                <w:szCs w:val="21"/>
                <w:highlight w:val="none"/>
              </w:rPr>
              <w:t>养老保险</w:t>
            </w:r>
          </w:p>
        </w:tc>
        <w:tc>
          <w:tcPr>
            <w:tcW w:w="672" w:type="dxa"/>
            <w:tcBorders>
              <w:top w:val="single" w:color="000000" w:sz="4" w:space="0"/>
              <w:left w:val="single" w:color="000000" w:sz="4" w:space="0"/>
              <w:bottom w:val="single" w:color="000000" w:sz="4" w:space="0"/>
              <w:right w:val="single" w:color="000000" w:sz="4" w:space="0"/>
            </w:tcBorders>
          </w:tcPr>
          <w:p w14:paraId="0FEFEC85">
            <w:pPr>
              <w:autoSpaceDE w:val="0"/>
              <w:autoSpaceDN w:val="0"/>
              <w:adjustRightInd w:val="0"/>
              <w:snapToGrid w:val="0"/>
              <w:spacing w:line="360" w:lineRule="auto"/>
              <w:jc w:val="left"/>
              <w:rPr>
                <w:rFonts w:ascii="宋体" w:hAnsi="宋体"/>
                <w:b/>
                <w:color w:val="auto"/>
                <w:kern w:val="0"/>
                <w:sz w:val="24"/>
                <w:highlight w:val="none"/>
              </w:rPr>
            </w:pPr>
          </w:p>
        </w:tc>
      </w:tr>
      <w:tr w14:paraId="4E43852F">
        <w:tblPrEx>
          <w:tblCellMar>
            <w:top w:w="0" w:type="dxa"/>
            <w:left w:w="0" w:type="dxa"/>
            <w:bottom w:w="0" w:type="dxa"/>
            <w:right w:w="0" w:type="dxa"/>
          </w:tblCellMar>
        </w:tblPrEx>
        <w:trPr>
          <w:trHeight w:val="596" w:hRule="exac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08D016A">
            <w:pPr>
              <w:autoSpaceDE w:val="0"/>
              <w:autoSpaceDN w:val="0"/>
              <w:adjustRightInd w:val="0"/>
              <w:snapToGrid w:val="0"/>
              <w:jc w:val="center"/>
              <w:rPr>
                <w:rFonts w:ascii="宋体" w:hAnsi="宋体"/>
                <w:b/>
                <w:color w:val="auto"/>
                <w:kern w:val="0"/>
                <w:sz w:val="24"/>
                <w:highlight w:val="none"/>
              </w:rPr>
            </w:pPr>
            <w:r>
              <w:rPr>
                <w:rFonts w:hint="eastAsia" w:ascii="宋体" w:hAnsi="宋体"/>
                <w:color w:val="auto"/>
                <w:kern w:val="0"/>
                <w:szCs w:val="21"/>
                <w:highlight w:val="none"/>
              </w:rPr>
              <w:t>项目经理</w:t>
            </w:r>
          </w:p>
        </w:tc>
        <w:tc>
          <w:tcPr>
            <w:tcW w:w="721" w:type="dxa"/>
            <w:tcBorders>
              <w:top w:val="single" w:color="000000" w:sz="4" w:space="0"/>
              <w:left w:val="single" w:color="000000" w:sz="4" w:space="0"/>
              <w:bottom w:val="single" w:color="000000" w:sz="4" w:space="0"/>
              <w:right w:val="single" w:color="000000" w:sz="4" w:space="0"/>
            </w:tcBorders>
          </w:tcPr>
          <w:p w14:paraId="0E71B680">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903FA16">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5B402E77">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05CAF8F">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067D5E93">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2B2C90DB">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23C2C12C">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9260E6B">
            <w:pPr>
              <w:autoSpaceDE w:val="0"/>
              <w:autoSpaceDN w:val="0"/>
              <w:adjustRightInd w:val="0"/>
              <w:snapToGrid w:val="0"/>
              <w:spacing w:line="360" w:lineRule="auto"/>
              <w:jc w:val="left"/>
              <w:rPr>
                <w:rFonts w:ascii="宋体" w:hAnsi="宋体"/>
                <w:b/>
                <w:color w:val="auto"/>
                <w:kern w:val="0"/>
                <w:sz w:val="24"/>
                <w:highlight w:val="none"/>
              </w:rPr>
            </w:pPr>
          </w:p>
        </w:tc>
      </w:tr>
      <w:tr w14:paraId="559BB214">
        <w:tblPrEx>
          <w:tblCellMar>
            <w:top w:w="0" w:type="dxa"/>
            <w:left w:w="0" w:type="dxa"/>
            <w:bottom w:w="0" w:type="dxa"/>
            <w:right w:w="0" w:type="dxa"/>
          </w:tblCellMar>
        </w:tblPrEx>
        <w:trPr>
          <w:trHeight w:val="901" w:hRule="exac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5614C60">
            <w:pPr>
              <w:autoSpaceDE w:val="0"/>
              <w:autoSpaceDN w:val="0"/>
              <w:adjustRightInd w:val="0"/>
              <w:snapToGrid w:val="0"/>
              <w:jc w:val="center"/>
              <w:rPr>
                <w:rFonts w:ascii="宋体" w:hAnsi="宋体"/>
                <w:b/>
                <w:color w:val="auto"/>
                <w:kern w:val="0"/>
                <w:sz w:val="24"/>
                <w:highlight w:val="none"/>
              </w:rPr>
            </w:pPr>
            <w:r>
              <w:rPr>
                <w:rFonts w:hint="eastAsia" w:ascii="宋体" w:hAnsi="宋体"/>
                <w:color w:val="auto"/>
                <w:kern w:val="0"/>
                <w:szCs w:val="21"/>
                <w:highlight w:val="none"/>
              </w:rPr>
              <w:t>项目技术负责人</w:t>
            </w:r>
          </w:p>
        </w:tc>
        <w:tc>
          <w:tcPr>
            <w:tcW w:w="721" w:type="dxa"/>
            <w:tcBorders>
              <w:top w:val="single" w:color="000000" w:sz="4" w:space="0"/>
              <w:left w:val="single" w:color="000000" w:sz="4" w:space="0"/>
              <w:bottom w:val="single" w:color="000000" w:sz="4" w:space="0"/>
              <w:right w:val="single" w:color="000000" w:sz="4" w:space="0"/>
            </w:tcBorders>
          </w:tcPr>
          <w:p w14:paraId="41898AE9">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F03D3CF">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595D4E2D">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3FE7DA4C">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737B8142">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8D4FA3E">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086C92E7">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7DA82C1F">
            <w:pPr>
              <w:autoSpaceDE w:val="0"/>
              <w:autoSpaceDN w:val="0"/>
              <w:adjustRightInd w:val="0"/>
              <w:snapToGrid w:val="0"/>
              <w:spacing w:line="360" w:lineRule="auto"/>
              <w:jc w:val="left"/>
              <w:rPr>
                <w:rFonts w:ascii="宋体" w:hAnsi="宋体"/>
                <w:b/>
                <w:color w:val="auto"/>
                <w:kern w:val="0"/>
                <w:sz w:val="24"/>
                <w:highlight w:val="none"/>
              </w:rPr>
            </w:pPr>
          </w:p>
        </w:tc>
      </w:tr>
      <w:tr w14:paraId="7B699A8B">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44E7F9F5">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8902A5C">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64CE08A6">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2294D58F">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607DC16C">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57A6FF4F">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8CFA10C">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049511A0">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31CC04C9">
            <w:pPr>
              <w:autoSpaceDE w:val="0"/>
              <w:autoSpaceDN w:val="0"/>
              <w:adjustRightInd w:val="0"/>
              <w:snapToGrid w:val="0"/>
              <w:spacing w:line="360" w:lineRule="auto"/>
              <w:jc w:val="left"/>
              <w:rPr>
                <w:rFonts w:ascii="宋体" w:hAnsi="宋体"/>
                <w:b/>
                <w:color w:val="auto"/>
                <w:kern w:val="0"/>
                <w:sz w:val="24"/>
                <w:highlight w:val="none"/>
              </w:rPr>
            </w:pPr>
          </w:p>
        </w:tc>
      </w:tr>
      <w:tr w14:paraId="3270AD8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73597800">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32293678">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8D27150">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5987A959">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1676F453">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50C14955">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1A25A95">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777179B8">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58BF671">
            <w:pPr>
              <w:autoSpaceDE w:val="0"/>
              <w:autoSpaceDN w:val="0"/>
              <w:adjustRightInd w:val="0"/>
              <w:snapToGrid w:val="0"/>
              <w:spacing w:line="360" w:lineRule="auto"/>
              <w:jc w:val="left"/>
              <w:rPr>
                <w:rFonts w:ascii="宋体" w:hAnsi="宋体"/>
                <w:b/>
                <w:color w:val="auto"/>
                <w:kern w:val="0"/>
                <w:sz w:val="24"/>
                <w:highlight w:val="none"/>
              </w:rPr>
            </w:pPr>
          </w:p>
        </w:tc>
      </w:tr>
      <w:tr w14:paraId="60F6E8D2">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00469FA4">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1FB75BDD">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0B3ECCE">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3C718CEF">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CD3F22F">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00779C1">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265ABA46">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67BDD1FE">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D64FE4C">
            <w:pPr>
              <w:autoSpaceDE w:val="0"/>
              <w:autoSpaceDN w:val="0"/>
              <w:adjustRightInd w:val="0"/>
              <w:snapToGrid w:val="0"/>
              <w:spacing w:line="360" w:lineRule="auto"/>
              <w:jc w:val="left"/>
              <w:rPr>
                <w:rFonts w:ascii="宋体" w:hAnsi="宋体"/>
                <w:b/>
                <w:color w:val="auto"/>
                <w:kern w:val="0"/>
                <w:sz w:val="24"/>
                <w:highlight w:val="none"/>
              </w:rPr>
            </w:pPr>
          </w:p>
        </w:tc>
      </w:tr>
      <w:tr w14:paraId="4202A95A">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47D92253">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136C902">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9622FEF">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04738F93">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37AE9CC2">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09592913">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2D32E5DC">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086196A4">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B3AD93A">
            <w:pPr>
              <w:autoSpaceDE w:val="0"/>
              <w:autoSpaceDN w:val="0"/>
              <w:adjustRightInd w:val="0"/>
              <w:snapToGrid w:val="0"/>
              <w:spacing w:line="360" w:lineRule="auto"/>
              <w:jc w:val="left"/>
              <w:rPr>
                <w:rFonts w:ascii="宋体" w:hAnsi="宋体"/>
                <w:b/>
                <w:color w:val="auto"/>
                <w:kern w:val="0"/>
                <w:sz w:val="24"/>
                <w:highlight w:val="none"/>
              </w:rPr>
            </w:pPr>
          </w:p>
        </w:tc>
      </w:tr>
      <w:tr w14:paraId="7174A95E">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7604C923">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0F74F86">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502E14D">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103D43E0">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E9FF958">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006FC19">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68BAFE61">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78B5E2B0">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720ED1E3">
            <w:pPr>
              <w:autoSpaceDE w:val="0"/>
              <w:autoSpaceDN w:val="0"/>
              <w:adjustRightInd w:val="0"/>
              <w:snapToGrid w:val="0"/>
              <w:spacing w:line="360" w:lineRule="auto"/>
              <w:jc w:val="left"/>
              <w:rPr>
                <w:rFonts w:ascii="宋体" w:hAnsi="宋体"/>
                <w:b/>
                <w:color w:val="auto"/>
                <w:kern w:val="0"/>
                <w:sz w:val="24"/>
                <w:highlight w:val="none"/>
              </w:rPr>
            </w:pPr>
          </w:p>
        </w:tc>
      </w:tr>
      <w:tr w14:paraId="5CDFEC82">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03150AE2">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13073954">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984BB98">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0CE58EE8">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8E9B74F">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C93978C">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F566AA7">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5FAD338D">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8C11928">
            <w:pPr>
              <w:autoSpaceDE w:val="0"/>
              <w:autoSpaceDN w:val="0"/>
              <w:adjustRightInd w:val="0"/>
              <w:snapToGrid w:val="0"/>
              <w:spacing w:line="360" w:lineRule="auto"/>
              <w:jc w:val="left"/>
              <w:rPr>
                <w:rFonts w:ascii="宋体" w:hAnsi="宋体"/>
                <w:b/>
                <w:color w:val="auto"/>
                <w:kern w:val="0"/>
                <w:sz w:val="24"/>
                <w:highlight w:val="none"/>
              </w:rPr>
            </w:pPr>
          </w:p>
        </w:tc>
      </w:tr>
      <w:tr w14:paraId="1B1699D5">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3E28A46D">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52CA58E9">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A9988FC">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5E4EF1C1">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2099E63E">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BB00513">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1542EA6">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65F80E24">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77F5460">
            <w:pPr>
              <w:autoSpaceDE w:val="0"/>
              <w:autoSpaceDN w:val="0"/>
              <w:adjustRightInd w:val="0"/>
              <w:snapToGrid w:val="0"/>
              <w:spacing w:line="360" w:lineRule="auto"/>
              <w:jc w:val="left"/>
              <w:rPr>
                <w:rFonts w:ascii="宋体" w:hAnsi="宋体"/>
                <w:b/>
                <w:color w:val="auto"/>
                <w:kern w:val="0"/>
                <w:sz w:val="24"/>
                <w:highlight w:val="none"/>
              </w:rPr>
            </w:pPr>
          </w:p>
        </w:tc>
      </w:tr>
      <w:tr w14:paraId="4188FEA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4D7C79E8">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C46C91B">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A7F9FBB">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0576D110">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9FDA7FB">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2A6D7BB">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78C4441">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2C14CFC2">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0B5CB1C">
            <w:pPr>
              <w:autoSpaceDE w:val="0"/>
              <w:autoSpaceDN w:val="0"/>
              <w:adjustRightInd w:val="0"/>
              <w:snapToGrid w:val="0"/>
              <w:spacing w:line="360" w:lineRule="auto"/>
              <w:jc w:val="left"/>
              <w:rPr>
                <w:rFonts w:ascii="宋体" w:hAnsi="宋体"/>
                <w:b/>
                <w:color w:val="auto"/>
                <w:kern w:val="0"/>
                <w:sz w:val="24"/>
                <w:highlight w:val="none"/>
              </w:rPr>
            </w:pPr>
          </w:p>
        </w:tc>
      </w:tr>
      <w:tr w14:paraId="033EF26F">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5F84E042">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5105DC1">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463A772">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62F02352">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18B2FF0B">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D5422B5">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3B394C03">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2464B520">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F89B5DD">
            <w:pPr>
              <w:autoSpaceDE w:val="0"/>
              <w:autoSpaceDN w:val="0"/>
              <w:adjustRightInd w:val="0"/>
              <w:snapToGrid w:val="0"/>
              <w:spacing w:line="360" w:lineRule="auto"/>
              <w:jc w:val="left"/>
              <w:rPr>
                <w:rFonts w:ascii="宋体" w:hAnsi="宋体"/>
                <w:b/>
                <w:color w:val="auto"/>
                <w:kern w:val="0"/>
                <w:sz w:val="24"/>
                <w:highlight w:val="none"/>
              </w:rPr>
            </w:pPr>
          </w:p>
        </w:tc>
      </w:tr>
      <w:tr w14:paraId="5BE4461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63F44E13">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5D750329">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39680F45">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204D8A22">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49C05AE">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D770A37">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5C8BAC9">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38E79D41">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4BD7B39D">
            <w:pPr>
              <w:autoSpaceDE w:val="0"/>
              <w:autoSpaceDN w:val="0"/>
              <w:adjustRightInd w:val="0"/>
              <w:snapToGrid w:val="0"/>
              <w:spacing w:line="360" w:lineRule="auto"/>
              <w:jc w:val="left"/>
              <w:rPr>
                <w:rFonts w:ascii="宋体" w:hAnsi="宋体"/>
                <w:b/>
                <w:color w:val="auto"/>
                <w:kern w:val="0"/>
                <w:sz w:val="24"/>
                <w:highlight w:val="none"/>
              </w:rPr>
            </w:pPr>
          </w:p>
        </w:tc>
      </w:tr>
      <w:tr w14:paraId="492A0654">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3AE31F73">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16411767">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22DF88F2">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23639F86">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A6BE3ED">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8DF92D5">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A8CFD75">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74D82DCA">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345972A">
            <w:pPr>
              <w:autoSpaceDE w:val="0"/>
              <w:autoSpaceDN w:val="0"/>
              <w:adjustRightInd w:val="0"/>
              <w:snapToGrid w:val="0"/>
              <w:spacing w:line="360" w:lineRule="auto"/>
              <w:jc w:val="left"/>
              <w:rPr>
                <w:rFonts w:ascii="宋体" w:hAnsi="宋体"/>
                <w:b/>
                <w:color w:val="auto"/>
                <w:kern w:val="0"/>
                <w:sz w:val="24"/>
                <w:highlight w:val="none"/>
              </w:rPr>
            </w:pPr>
          </w:p>
        </w:tc>
      </w:tr>
      <w:tr w14:paraId="7B992EA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4B2B1D63">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AD0CA7B">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55C9FEB">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4E2C9E97">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755A36AA">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DDD9ED7">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CAC1BD7">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391C7698">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1A9A6B2B">
            <w:pPr>
              <w:autoSpaceDE w:val="0"/>
              <w:autoSpaceDN w:val="0"/>
              <w:adjustRightInd w:val="0"/>
              <w:snapToGrid w:val="0"/>
              <w:spacing w:line="360" w:lineRule="auto"/>
              <w:jc w:val="left"/>
              <w:rPr>
                <w:rFonts w:ascii="宋体" w:hAnsi="宋体"/>
                <w:b/>
                <w:color w:val="auto"/>
                <w:kern w:val="0"/>
                <w:sz w:val="24"/>
                <w:highlight w:val="none"/>
              </w:rPr>
            </w:pPr>
          </w:p>
        </w:tc>
      </w:tr>
      <w:tr w14:paraId="0B415A22">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7EA7B386">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159F4330">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3CB3E24">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18E1FE8F">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1DE87D4">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30778ACB">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5B93FB4">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65C612D0">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78584F87">
            <w:pPr>
              <w:autoSpaceDE w:val="0"/>
              <w:autoSpaceDN w:val="0"/>
              <w:adjustRightInd w:val="0"/>
              <w:snapToGrid w:val="0"/>
              <w:spacing w:line="360" w:lineRule="auto"/>
              <w:jc w:val="left"/>
              <w:rPr>
                <w:rFonts w:ascii="宋体" w:hAnsi="宋体"/>
                <w:b/>
                <w:color w:val="auto"/>
                <w:kern w:val="0"/>
                <w:sz w:val="24"/>
                <w:highlight w:val="none"/>
              </w:rPr>
            </w:pPr>
          </w:p>
        </w:tc>
      </w:tr>
      <w:tr w14:paraId="68A314E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560A0C63">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7A73D900">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1AF5A786">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299DA445">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69A5C4D6">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739A9704">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1C42CFEF">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555F2D2B">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5E08199D">
            <w:pPr>
              <w:autoSpaceDE w:val="0"/>
              <w:autoSpaceDN w:val="0"/>
              <w:adjustRightInd w:val="0"/>
              <w:snapToGrid w:val="0"/>
              <w:spacing w:line="360" w:lineRule="auto"/>
              <w:jc w:val="left"/>
              <w:rPr>
                <w:rFonts w:ascii="宋体" w:hAnsi="宋体"/>
                <w:b/>
                <w:color w:val="auto"/>
                <w:kern w:val="0"/>
                <w:sz w:val="24"/>
                <w:highlight w:val="none"/>
              </w:rPr>
            </w:pPr>
          </w:p>
        </w:tc>
      </w:tr>
      <w:tr w14:paraId="2787AD1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245C6B14">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0CD0CE10">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107BA0E">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6525C685">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00E3C006">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3A2A14BF">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1CA1C8C0">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28981B8A">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27C5185A">
            <w:pPr>
              <w:autoSpaceDE w:val="0"/>
              <w:autoSpaceDN w:val="0"/>
              <w:adjustRightInd w:val="0"/>
              <w:snapToGrid w:val="0"/>
              <w:spacing w:line="360" w:lineRule="auto"/>
              <w:jc w:val="left"/>
              <w:rPr>
                <w:rFonts w:ascii="宋体" w:hAnsi="宋体"/>
                <w:b/>
                <w:color w:val="auto"/>
                <w:kern w:val="0"/>
                <w:sz w:val="24"/>
                <w:highlight w:val="none"/>
              </w:rPr>
            </w:pPr>
          </w:p>
        </w:tc>
      </w:tr>
      <w:tr w14:paraId="6424DFB5">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6C917FD6">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577A8C7F">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532B84E9">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1F64E6BC">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6612B449">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5C73722A">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BFBB7AB">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6275FA1E">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6DA17CC9">
            <w:pPr>
              <w:autoSpaceDE w:val="0"/>
              <w:autoSpaceDN w:val="0"/>
              <w:adjustRightInd w:val="0"/>
              <w:snapToGrid w:val="0"/>
              <w:spacing w:line="360" w:lineRule="auto"/>
              <w:jc w:val="left"/>
              <w:rPr>
                <w:rFonts w:ascii="宋体" w:hAnsi="宋体"/>
                <w:b/>
                <w:color w:val="auto"/>
                <w:kern w:val="0"/>
                <w:sz w:val="24"/>
                <w:highlight w:val="none"/>
              </w:rPr>
            </w:pPr>
          </w:p>
        </w:tc>
      </w:tr>
      <w:tr w14:paraId="18E5B99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6D0722CA">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E962D1B">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4E8EF675">
            <w:pPr>
              <w:autoSpaceDE w:val="0"/>
              <w:autoSpaceDN w:val="0"/>
              <w:adjustRightInd w:val="0"/>
              <w:snapToGrid w:val="0"/>
              <w:spacing w:line="360" w:lineRule="auto"/>
              <w:jc w:val="left"/>
              <w:rPr>
                <w:rFonts w:ascii="宋体" w:hAnsi="宋体"/>
                <w:b/>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14:paraId="0EF19A8A">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39112FBA">
            <w:pPr>
              <w:autoSpaceDE w:val="0"/>
              <w:autoSpaceDN w:val="0"/>
              <w:adjustRightInd w:val="0"/>
              <w:snapToGrid w:val="0"/>
              <w:spacing w:line="360" w:lineRule="auto"/>
              <w:jc w:val="left"/>
              <w:rPr>
                <w:rFonts w:ascii="宋体" w:hAnsi="宋体"/>
                <w:b/>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19969B79">
            <w:pPr>
              <w:autoSpaceDE w:val="0"/>
              <w:autoSpaceDN w:val="0"/>
              <w:adjustRightInd w:val="0"/>
              <w:snapToGrid w:val="0"/>
              <w:spacing w:line="360" w:lineRule="auto"/>
              <w:jc w:val="left"/>
              <w:rPr>
                <w:rFonts w:ascii="宋体" w:hAnsi="宋体"/>
                <w:b/>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14:paraId="2570B04D">
            <w:pPr>
              <w:autoSpaceDE w:val="0"/>
              <w:autoSpaceDN w:val="0"/>
              <w:adjustRightInd w:val="0"/>
              <w:snapToGrid w:val="0"/>
              <w:spacing w:line="360" w:lineRule="auto"/>
              <w:jc w:val="left"/>
              <w:rPr>
                <w:rFonts w:ascii="宋体" w:hAnsi="宋体"/>
                <w:b/>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14:paraId="3AD9441C">
            <w:pPr>
              <w:autoSpaceDE w:val="0"/>
              <w:autoSpaceDN w:val="0"/>
              <w:adjustRightInd w:val="0"/>
              <w:snapToGrid w:val="0"/>
              <w:spacing w:line="360" w:lineRule="auto"/>
              <w:jc w:val="left"/>
              <w:rPr>
                <w:rFonts w:ascii="宋体" w:hAnsi="宋体"/>
                <w:b/>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14:paraId="0ED901AB">
            <w:pPr>
              <w:autoSpaceDE w:val="0"/>
              <w:autoSpaceDN w:val="0"/>
              <w:adjustRightInd w:val="0"/>
              <w:snapToGrid w:val="0"/>
              <w:spacing w:line="360" w:lineRule="auto"/>
              <w:jc w:val="left"/>
              <w:rPr>
                <w:rFonts w:ascii="宋体" w:hAnsi="宋体"/>
                <w:b/>
                <w:color w:val="auto"/>
                <w:kern w:val="0"/>
                <w:sz w:val="24"/>
                <w:highlight w:val="none"/>
              </w:rPr>
            </w:pPr>
          </w:p>
        </w:tc>
      </w:tr>
    </w:tbl>
    <w:p w14:paraId="03F4A7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备注：本表仅填项目经理、项目技术负责人相关信息</w:t>
      </w:r>
    </w:p>
    <w:p w14:paraId="61ED6ADE">
      <w:pPr>
        <w:spacing w:line="360" w:lineRule="auto"/>
        <w:ind w:firstLine="640"/>
        <w:jc w:val="center"/>
        <w:rPr>
          <w:b/>
          <w:color w:val="auto"/>
          <w:sz w:val="28"/>
          <w:szCs w:val="28"/>
          <w:highlight w:val="none"/>
        </w:rPr>
      </w:pPr>
      <w:r>
        <w:rPr>
          <w:color w:val="auto"/>
          <w:highlight w:val="none"/>
        </w:rPr>
        <w:br w:type="page"/>
      </w:r>
      <w:r>
        <w:rPr>
          <w:rFonts w:hint="eastAsia" w:ascii="宋体" w:hAnsi="宋体"/>
          <w:color w:val="auto"/>
          <w:sz w:val="32"/>
          <w:szCs w:val="32"/>
          <w:highlight w:val="none"/>
        </w:rPr>
        <w:t>项目经理及项目技术负责人简历表</w:t>
      </w:r>
    </w:p>
    <w:p w14:paraId="518BA76F">
      <w:pPr>
        <w:rPr>
          <w:color w:val="auto"/>
          <w:highlight w:val="none"/>
        </w:rPr>
      </w:pPr>
    </w:p>
    <w:tbl>
      <w:tblPr>
        <w:tblStyle w:val="46"/>
        <w:tblW w:w="8523" w:type="dxa"/>
        <w:jc w:val="center"/>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4C3C4158">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vAlign w:val="center"/>
          </w:tcPr>
          <w:p w14:paraId="0A6F9883">
            <w:pPr>
              <w:tabs>
                <w:tab w:val="left" w:pos="52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姓</w:t>
            </w:r>
            <w:r>
              <w:rPr>
                <w:rFonts w:hint="eastAsia" w:ascii="宋体" w:hAnsi="宋体"/>
                <w:color w:val="auto"/>
                <w:kern w:val="0"/>
                <w:szCs w:val="21"/>
                <w:highlight w:val="none"/>
              </w:rPr>
              <w:tab/>
            </w:r>
            <w:r>
              <w:rPr>
                <w:rFonts w:hint="eastAsia" w:ascii="宋体" w:hAnsi="宋体" w:cs="MingLiU"/>
                <w:color w:val="auto"/>
                <w:kern w:val="0"/>
                <w:szCs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2EB5A53">
            <w:pPr>
              <w:autoSpaceDE w:val="0"/>
              <w:autoSpaceDN w:val="0"/>
              <w:adjustRightInd w:val="0"/>
              <w:snapToGrid w:val="0"/>
              <w:spacing w:line="360" w:lineRule="auto"/>
              <w:jc w:val="center"/>
              <w:rPr>
                <w:rFonts w:ascii="宋体" w:hAnsi="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1195DAE9">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年龄</w:t>
            </w:r>
          </w:p>
        </w:tc>
        <w:tc>
          <w:tcPr>
            <w:tcW w:w="1066" w:type="dxa"/>
            <w:tcBorders>
              <w:top w:val="single" w:color="000000" w:sz="4" w:space="0"/>
              <w:left w:val="single" w:color="000000" w:sz="4" w:space="0"/>
              <w:bottom w:val="single" w:color="000000" w:sz="4" w:space="0"/>
              <w:right w:val="single" w:color="000000" w:sz="4" w:space="0"/>
            </w:tcBorders>
            <w:vAlign w:val="center"/>
          </w:tcPr>
          <w:p w14:paraId="52978F7A">
            <w:pPr>
              <w:autoSpaceDE w:val="0"/>
              <w:autoSpaceDN w:val="0"/>
              <w:adjustRightInd w:val="0"/>
              <w:snapToGrid w:val="0"/>
              <w:spacing w:line="360" w:lineRule="auto"/>
              <w:jc w:val="center"/>
              <w:rPr>
                <w:rFonts w:ascii="宋体" w:hAnsi="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42C684F0">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14:paraId="2F256D4C">
            <w:pPr>
              <w:autoSpaceDE w:val="0"/>
              <w:autoSpaceDN w:val="0"/>
              <w:adjustRightInd w:val="0"/>
              <w:snapToGrid w:val="0"/>
              <w:spacing w:line="360" w:lineRule="auto"/>
              <w:jc w:val="center"/>
              <w:rPr>
                <w:rFonts w:ascii="宋体" w:hAnsi="宋体"/>
                <w:color w:val="auto"/>
                <w:kern w:val="0"/>
                <w:sz w:val="24"/>
                <w:highlight w:val="none"/>
              </w:rPr>
            </w:pPr>
          </w:p>
        </w:tc>
      </w:tr>
      <w:tr w14:paraId="1C7AD9CF">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vAlign w:val="center"/>
          </w:tcPr>
          <w:p w14:paraId="05BE1A82">
            <w:pPr>
              <w:tabs>
                <w:tab w:val="left" w:pos="52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职</w:t>
            </w:r>
            <w:r>
              <w:rPr>
                <w:rFonts w:hint="eastAsia" w:ascii="宋体" w:hAnsi="宋体"/>
                <w:color w:val="auto"/>
                <w:kern w:val="0"/>
                <w:szCs w:val="21"/>
                <w:highlight w:val="none"/>
              </w:rPr>
              <w:tab/>
            </w:r>
            <w:r>
              <w:rPr>
                <w:rFonts w:hint="eastAsia" w:ascii="宋体" w:hAnsi="宋体" w:cs="MingLiU"/>
                <w:color w:val="auto"/>
                <w:kern w:val="0"/>
                <w:szCs w:val="21"/>
                <w:highlight w:val="none"/>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031E87D">
            <w:pPr>
              <w:autoSpaceDE w:val="0"/>
              <w:autoSpaceDN w:val="0"/>
              <w:adjustRightInd w:val="0"/>
              <w:snapToGrid w:val="0"/>
              <w:spacing w:line="360" w:lineRule="auto"/>
              <w:jc w:val="center"/>
              <w:rPr>
                <w:rFonts w:ascii="宋体" w:hAnsi="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338AA64">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职务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6B3CE7F8">
            <w:pPr>
              <w:autoSpaceDE w:val="0"/>
              <w:autoSpaceDN w:val="0"/>
              <w:adjustRightInd w:val="0"/>
              <w:snapToGrid w:val="0"/>
              <w:spacing w:line="360" w:lineRule="auto"/>
              <w:jc w:val="center"/>
              <w:rPr>
                <w:rFonts w:ascii="宋体" w:hAnsi="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4352A9B3">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14:paraId="2CB8710C">
            <w:pPr>
              <w:autoSpaceDE w:val="0"/>
              <w:autoSpaceDN w:val="0"/>
              <w:adjustRightInd w:val="0"/>
              <w:snapToGrid w:val="0"/>
              <w:spacing w:line="360" w:lineRule="auto"/>
              <w:jc w:val="center"/>
              <w:rPr>
                <w:rFonts w:ascii="宋体" w:hAnsi="宋体"/>
                <w:color w:val="auto"/>
                <w:kern w:val="0"/>
                <w:sz w:val="24"/>
                <w:highlight w:val="none"/>
              </w:rPr>
            </w:pPr>
          </w:p>
        </w:tc>
      </w:tr>
      <w:tr w14:paraId="4E77118E">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vAlign w:val="center"/>
          </w:tcPr>
          <w:p w14:paraId="3D7DD368">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14:paraId="515F6FC3">
            <w:pPr>
              <w:tabs>
                <w:tab w:val="left" w:pos="2820"/>
                <w:tab w:val="left" w:pos="408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年</w:t>
            </w:r>
            <w:r>
              <w:rPr>
                <w:rFonts w:hint="eastAsia" w:ascii="宋体" w:hAnsi="宋体" w:cs="MingLiU"/>
                <w:color w:val="auto"/>
                <w:spacing w:val="-1"/>
                <w:kern w:val="0"/>
                <w:szCs w:val="21"/>
                <w:highlight w:val="none"/>
              </w:rPr>
              <w:t>毕</w:t>
            </w:r>
            <w:r>
              <w:rPr>
                <w:rFonts w:hint="eastAsia" w:ascii="宋体" w:hAnsi="宋体" w:cs="MingLiU"/>
                <w:color w:val="auto"/>
                <w:kern w:val="0"/>
                <w:szCs w:val="21"/>
                <w:highlight w:val="none"/>
              </w:rPr>
              <w:t>业于</w:t>
            </w:r>
            <w:r>
              <w:rPr>
                <w:rFonts w:hint="eastAsia" w:ascii="宋体" w:hAnsi="宋体"/>
                <w:color w:val="auto"/>
                <w:kern w:val="0"/>
                <w:szCs w:val="21"/>
                <w:highlight w:val="none"/>
              </w:rPr>
              <w:tab/>
            </w:r>
            <w:r>
              <w:rPr>
                <w:rFonts w:hint="eastAsia" w:ascii="宋体" w:hAnsi="宋体" w:cs="MingLiU"/>
                <w:color w:val="auto"/>
                <w:kern w:val="0"/>
                <w:szCs w:val="21"/>
                <w:highlight w:val="none"/>
              </w:rPr>
              <w:t>学校</w:t>
            </w:r>
            <w:r>
              <w:rPr>
                <w:rFonts w:hint="eastAsia" w:ascii="宋体" w:hAnsi="宋体"/>
                <w:color w:val="auto"/>
                <w:kern w:val="0"/>
                <w:szCs w:val="21"/>
                <w:highlight w:val="none"/>
              </w:rPr>
              <w:tab/>
            </w:r>
            <w:r>
              <w:rPr>
                <w:rFonts w:hint="eastAsia" w:ascii="宋体" w:hAnsi="宋体" w:cs="MingLiU"/>
                <w:color w:val="auto"/>
                <w:kern w:val="0"/>
                <w:szCs w:val="21"/>
                <w:highlight w:val="none"/>
              </w:rPr>
              <w:t>专业</w:t>
            </w:r>
          </w:p>
        </w:tc>
      </w:tr>
      <w:tr w14:paraId="71BF6534">
        <w:tblPrEx>
          <w:tblCellMar>
            <w:top w:w="0" w:type="dxa"/>
            <w:left w:w="0" w:type="dxa"/>
            <w:bottom w:w="0" w:type="dxa"/>
            <w:right w:w="0" w:type="dxa"/>
          </w:tblCellMar>
        </w:tblPrEx>
        <w:trPr>
          <w:trHeight w:val="450" w:hRule="atLeast"/>
          <w:jc w:val="center"/>
        </w:trPr>
        <w:tc>
          <w:tcPr>
            <w:tcW w:w="8523" w:type="dxa"/>
            <w:gridSpan w:val="9"/>
            <w:tcBorders>
              <w:top w:val="single" w:color="000000" w:sz="4" w:space="0"/>
              <w:left w:val="single" w:color="000000" w:sz="4" w:space="0"/>
              <w:bottom w:val="single" w:color="000000" w:sz="4" w:space="0"/>
              <w:right w:val="single" w:color="000000" w:sz="4" w:space="0"/>
            </w:tcBorders>
            <w:vAlign w:val="center"/>
          </w:tcPr>
          <w:p w14:paraId="77ACB792">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主要工作经历</w:t>
            </w:r>
          </w:p>
        </w:tc>
      </w:tr>
      <w:tr w14:paraId="5FC229AB">
        <w:tblPrEx>
          <w:tblCellMar>
            <w:top w:w="0" w:type="dxa"/>
            <w:left w:w="0" w:type="dxa"/>
            <w:bottom w:w="0" w:type="dxa"/>
            <w:right w:w="0" w:type="dxa"/>
          </w:tblCellMar>
        </w:tblPrEx>
        <w:trPr>
          <w:trHeight w:val="450" w:hRule="exact"/>
          <w:jc w:val="center"/>
        </w:trPr>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157E4BA8">
            <w:pPr>
              <w:tabs>
                <w:tab w:val="left" w:pos="52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时</w:t>
            </w:r>
            <w:r>
              <w:rPr>
                <w:rFonts w:hint="eastAsia" w:ascii="宋体" w:hAnsi="宋体"/>
                <w:color w:val="auto"/>
                <w:kern w:val="0"/>
                <w:szCs w:val="21"/>
                <w:highlight w:val="none"/>
              </w:rPr>
              <w:tab/>
            </w:r>
            <w:r>
              <w:rPr>
                <w:rFonts w:hint="eastAsia" w:ascii="宋体" w:hAnsi="宋体" w:cs="MingLiU"/>
                <w:color w:val="auto"/>
                <w:kern w:val="0"/>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14:paraId="3E99D2C2">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14:paraId="595D8CBD">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14:paraId="538E3F0B">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发包人及联系电话</w:t>
            </w:r>
          </w:p>
        </w:tc>
      </w:tr>
      <w:tr w14:paraId="74DCB7C5">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7E2FABEE">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5B86F481">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074F784">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74B80EE">
            <w:pPr>
              <w:autoSpaceDE w:val="0"/>
              <w:autoSpaceDN w:val="0"/>
              <w:adjustRightInd w:val="0"/>
              <w:snapToGrid w:val="0"/>
              <w:spacing w:line="360" w:lineRule="auto"/>
              <w:jc w:val="left"/>
              <w:rPr>
                <w:rFonts w:ascii="宋体" w:hAnsi="宋体"/>
                <w:color w:val="auto"/>
                <w:kern w:val="0"/>
                <w:sz w:val="24"/>
                <w:highlight w:val="none"/>
              </w:rPr>
            </w:pPr>
          </w:p>
        </w:tc>
      </w:tr>
      <w:tr w14:paraId="0D80F424">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558CAB35">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2AFE65D">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0C798CA4">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90E875B">
            <w:pPr>
              <w:autoSpaceDE w:val="0"/>
              <w:autoSpaceDN w:val="0"/>
              <w:adjustRightInd w:val="0"/>
              <w:snapToGrid w:val="0"/>
              <w:spacing w:line="360" w:lineRule="auto"/>
              <w:jc w:val="left"/>
              <w:rPr>
                <w:rFonts w:ascii="宋体" w:hAnsi="宋体"/>
                <w:color w:val="auto"/>
                <w:kern w:val="0"/>
                <w:sz w:val="24"/>
                <w:highlight w:val="none"/>
              </w:rPr>
            </w:pPr>
          </w:p>
        </w:tc>
      </w:tr>
      <w:tr w14:paraId="256AE9DD">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5D5F7228">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9E9D1C3">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4D11D19">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FF601F4">
            <w:pPr>
              <w:autoSpaceDE w:val="0"/>
              <w:autoSpaceDN w:val="0"/>
              <w:adjustRightInd w:val="0"/>
              <w:snapToGrid w:val="0"/>
              <w:spacing w:line="360" w:lineRule="auto"/>
              <w:jc w:val="left"/>
              <w:rPr>
                <w:rFonts w:ascii="宋体" w:hAnsi="宋体"/>
                <w:color w:val="auto"/>
                <w:kern w:val="0"/>
                <w:sz w:val="24"/>
                <w:highlight w:val="none"/>
              </w:rPr>
            </w:pPr>
          </w:p>
        </w:tc>
      </w:tr>
      <w:tr w14:paraId="17FB2FE6">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48B6EA4A">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55E5B40D">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89BE676">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5A23C5AC">
            <w:pPr>
              <w:autoSpaceDE w:val="0"/>
              <w:autoSpaceDN w:val="0"/>
              <w:adjustRightInd w:val="0"/>
              <w:snapToGrid w:val="0"/>
              <w:spacing w:line="360" w:lineRule="auto"/>
              <w:jc w:val="left"/>
              <w:rPr>
                <w:rFonts w:ascii="宋体" w:hAnsi="宋体"/>
                <w:color w:val="auto"/>
                <w:kern w:val="0"/>
                <w:sz w:val="24"/>
                <w:highlight w:val="none"/>
              </w:rPr>
            </w:pPr>
          </w:p>
        </w:tc>
      </w:tr>
      <w:tr w14:paraId="1ABAE0A8">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2D5AC94B">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3BE266A">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0F2BD33F">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06525849">
            <w:pPr>
              <w:autoSpaceDE w:val="0"/>
              <w:autoSpaceDN w:val="0"/>
              <w:adjustRightInd w:val="0"/>
              <w:snapToGrid w:val="0"/>
              <w:spacing w:line="360" w:lineRule="auto"/>
              <w:jc w:val="left"/>
              <w:rPr>
                <w:rFonts w:ascii="宋体" w:hAnsi="宋体"/>
                <w:color w:val="auto"/>
                <w:kern w:val="0"/>
                <w:sz w:val="24"/>
                <w:highlight w:val="none"/>
              </w:rPr>
            </w:pPr>
          </w:p>
        </w:tc>
      </w:tr>
      <w:tr w14:paraId="53E1AA09">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464DA3F3">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E86F367">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2BC4C0F">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0B6B6AD">
            <w:pPr>
              <w:autoSpaceDE w:val="0"/>
              <w:autoSpaceDN w:val="0"/>
              <w:adjustRightInd w:val="0"/>
              <w:snapToGrid w:val="0"/>
              <w:spacing w:line="360" w:lineRule="auto"/>
              <w:jc w:val="left"/>
              <w:rPr>
                <w:rFonts w:ascii="宋体" w:hAnsi="宋体"/>
                <w:color w:val="auto"/>
                <w:kern w:val="0"/>
                <w:sz w:val="24"/>
                <w:highlight w:val="none"/>
              </w:rPr>
            </w:pPr>
          </w:p>
        </w:tc>
      </w:tr>
      <w:tr w14:paraId="77823DA2">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224D576B">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58D8EA5">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7E60360">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1F3F3CA">
            <w:pPr>
              <w:autoSpaceDE w:val="0"/>
              <w:autoSpaceDN w:val="0"/>
              <w:adjustRightInd w:val="0"/>
              <w:snapToGrid w:val="0"/>
              <w:spacing w:line="360" w:lineRule="auto"/>
              <w:jc w:val="left"/>
              <w:rPr>
                <w:rFonts w:ascii="宋体" w:hAnsi="宋体"/>
                <w:color w:val="auto"/>
                <w:kern w:val="0"/>
                <w:sz w:val="24"/>
                <w:highlight w:val="none"/>
              </w:rPr>
            </w:pPr>
          </w:p>
        </w:tc>
      </w:tr>
      <w:tr w14:paraId="39380602">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5AF5D7B4">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589D250C">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7B5CED87">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9186C5F">
            <w:pPr>
              <w:autoSpaceDE w:val="0"/>
              <w:autoSpaceDN w:val="0"/>
              <w:adjustRightInd w:val="0"/>
              <w:snapToGrid w:val="0"/>
              <w:spacing w:line="360" w:lineRule="auto"/>
              <w:jc w:val="left"/>
              <w:rPr>
                <w:rFonts w:ascii="宋体" w:hAnsi="宋体"/>
                <w:color w:val="auto"/>
                <w:kern w:val="0"/>
                <w:sz w:val="24"/>
                <w:highlight w:val="none"/>
              </w:rPr>
            </w:pPr>
          </w:p>
        </w:tc>
      </w:tr>
      <w:tr w14:paraId="5F3A7034">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34D64239">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0381045">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7AD7B7F6">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519DC40D">
            <w:pPr>
              <w:autoSpaceDE w:val="0"/>
              <w:autoSpaceDN w:val="0"/>
              <w:adjustRightInd w:val="0"/>
              <w:snapToGrid w:val="0"/>
              <w:spacing w:line="360" w:lineRule="auto"/>
              <w:jc w:val="left"/>
              <w:rPr>
                <w:rFonts w:ascii="宋体" w:hAnsi="宋体"/>
                <w:color w:val="auto"/>
                <w:kern w:val="0"/>
                <w:sz w:val="24"/>
                <w:highlight w:val="none"/>
              </w:rPr>
            </w:pPr>
          </w:p>
        </w:tc>
      </w:tr>
      <w:tr w14:paraId="773F6D91">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0D3BBE30">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1B5FCF54">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94A0E0D">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0E91A4CB">
            <w:pPr>
              <w:autoSpaceDE w:val="0"/>
              <w:autoSpaceDN w:val="0"/>
              <w:adjustRightInd w:val="0"/>
              <w:snapToGrid w:val="0"/>
              <w:spacing w:line="360" w:lineRule="auto"/>
              <w:jc w:val="left"/>
              <w:rPr>
                <w:rFonts w:ascii="宋体" w:hAnsi="宋体"/>
                <w:color w:val="auto"/>
                <w:kern w:val="0"/>
                <w:sz w:val="24"/>
                <w:highlight w:val="none"/>
              </w:rPr>
            </w:pPr>
          </w:p>
        </w:tc>
      </w:tr>
      <w:tr w14:paraId="214B2045">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46514B07">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6899084">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802E304">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C856DA2">
            <w:pPr>
              <w:autoSpaceDE w:val="0"/>
              <w:autoSpaceDN w:val="0"/>
              <w:adjustRightInd w:val="0"/>
              <w:snapToGrid w:val="0"/>
              <w:spacing w:line="360" w:lineRule="auto"/>
              <w:jc w:val="left"/>
              <w:rPr>
                <w:rFonts w:ascii="宋体" w:hAnsi="宋体"/>
                <w:color w:val="auto"/>
                <w:kern w:val="0"/>
                <w:sz w:val="24"/>
                <w:highlight w:val="none"/>
              </w:rPr>
            </w:pPr>
          </w:p>
        </w:tc>
      </w:tr>
      <w:tr w14:paraId="3A9A9C7E">
        <w:tblPrEx>
          <w:tblCellMar>
            <w:top w:w="0" w:type="dxa"/>
            <w:left w:w="0" w:type="dxa"/>
            <w:bottom w:w="0" w:type="dxa"/>
            <w:right w:w="0" w:type="dxa"/>
          </w:tblCellMar>
        </w:tblPrEx>
        <w:trPr>
          <w:trHeight w:val="764"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2A4FFC16">
            <w:pPr>
              <w:autoSpaceDE w:val="0"/>
              <w:autoSpaceDN w:val="0"/>
              <w:adjustRightInd w:val="0"/>
              <w:snapToGrid w:val="0"/>
              <w:spacing w:line="360" w:lineRule="auto"/>
              <w:jc w:val="left"/>
              <w:rPr>
                <w:rFonts w:ascii="宋体" w:hAnsi="宋体"/>
                <w:color w:val="auto"/>
                <w:kern w:val="0"/>
                <w:sz w:val="24"/>
                <w:highlight w:val="none"/>
              </w:rPr>
            </w:pPr>
          </w:p>
          <w:p w14:paraId="585CF4CA">
            <w:pPr>
              <w:autoSpaceDE w:val="0"/>
              <w:autoSpaceDN w:val="0"/>
              <w:adjustRightInd w:val="0"/>
              <w:snapToGrid w:val="0"/>
              <w:spacing w:line="360" w:lineRule="auto"/>
              <w:jc w:val="left"/>
              <w:rPr>
                <w:rFonts w:ascii="宋体" w:hAnsi="宋体"/>
                <w:color w:val="auto"/>
                <w:kern w:val="0"/>
                <w:sz w:val="24"/>
                <w:highlight w:val="none"/>
              </w:rPr>
            </w:pPr>
          </w:p>
          <w:p w14:paraId="699F16B3">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2AA84C9">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7AC27FD">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70E9439">
            <w:pPr>
              <w:autoSpaceDE w:val="0"/>
              <w:autoSpaceDN w:val="0"/>
              <w:adjustRightInd w:val="0"/>
              <w:snapToGrid w:val="0"/>
              <w:spacing w:line="360" w:lineRule="auto"/>
              <w:jc w:val="left"/>
              <w:rPr>
                <w:rFonts w:ascii="宋体" w:hAnsi="宋体"/>
                <w:color w:val="auto"/>
                <w:kern w:val="0"/>
                <w:sz w:val="24"/>
                <w:highlight w:val="none"/>
              </w:rPr>
            </w:pPr>
          </w:p>
        </w:tc>
      </w:tr>
    </w:tbl>
    <w:p w14:paraId="6575C1BB">
      <w:pPr>
        <w:rPr>
          <w:color w:val="auto"/>
          <w:highlight w:val="none"/>
        </w:rPr>
      </w:pPr>
      <w:bookmarkStart w:id="3052" w:name="_Toc224103515"/>
    </w:p>
    <w:p w14:paraId="701F8BBC">
      <w:pPr>
        <w:rPr>
          <w:color w:val="auto"/>
          <w:highlight w:val="none"/>
        </w:rPr>
      </w:pPr>
      <w:bookmarkStart w:id="3053" w:name="_Toc287607888"/>
      <w:bookmarkStart w:id="3054" w:name="_Toc277082660"/>
    </w:p>
    <w:p w14:paraId="4191C9E4">
      <w:pPr>
        <w:rPr>
          <w:color w:val="auto"/>
          <w:highlight w:val="none"/>
        </w:rPr>
      </w:pPr>
    </w:p>
    <w:p w14:paraId="5E46EA38">
      <w:pPr>
        <w:rPr>
          <w:color w:val="auto"/>
          <w:highlight w:val="none"/>
        </w:rPr>
      </w:pPr>
    </w:p>
    <w:p w14:paraId="10C4FF27">
      <w:pPr>
        <w:pStyle w:val="5"/>
        <w:spacing w:line="360" w:lineRule="auto"/>
        <w:jc w:val="center"/>
        <w:rPr>
          <w:rFonts w:ascii="宋体" w:hAnsi="宋体"/>
          <w:b w:val="0"/>
          <w:bCs w:val="0"/>
          <w:color w:val="auto"/>
          <w:highlight w:val="none"/>
        </w:rPr>
      </w:pPr>
      <w:bookmarkStart w:id="3055" w:name="_Toc505076013"/>
      <w:bookmarkStart w:id="3056" w:name="_Toc493602584"/>
      <w:bookmarkStart w:id="3057" w:name="_Toc16000485"/>
      <w:bookmarkStart w:id="3058" w:name="_Toc14813"/>
      <w:bookmarkStart w:id="3059" w:name="_Toc483489920"/>
      <w:bookmarkStart w:id="3060" w:name="_Toc505783807"/>
      <w:bookmarkStart w:id="3061" w:name="_Toc11232"/>
      <w:bookmarkStart w:id="3062" w:name="_Toc772"/>
      <w:bookmarkStart w:id="3063" w:name="_Toc29546"/>
      <w:r>
        <w:rPr>
          <w:rFonts w:hint="eastAsia" w:ascii="宋体" w:hAnsi="宋体"/>
          <w:color w:val="auto"/>
          <w:sz w:val="28"/>
          <w:highlight w:val="none"/>
        </w:rPr>
        <w:t>（四）</w:t>
      </w:r>
      <w:bookmarkEnd w:id="3052"/>
      <w:bookmarkEnd w:id="3053"/>
      <w:bookmarkEnd w:id="3054"/>
      <w:bookmarkEnd w:id="3055"/>
      <w:bookmarkEnd w:id="3056"/>
      <w:bookmarkEnd w:id="3057"/>
      <w:bookmarkEnd w:id="3058"/>
      <w:bookmarkEnd w:id="3059"/>
      <w:bookmarkEnd w:id="3060"/>
      <w:r>
        <w:rPr>
          <w:rFonts w:hint="eastAsia" w:ascii="宋体" w:hAnsi="宋体"/>
          <w:b w:val="0"/>
          <w:bCs w:val="0"/>
          <w:color w:val="auto"/>
          <w:highlight w:val="none"/>
        </w:rPr>
        <w:t>承诺</w:t>
      </w:r>
      <w:bookmarkEnd w:id="3061"/>
      <w:bookmarkEnd w:id="3062"/>
      <w:bookmarkEnd w:id="3063"/>
    </w:p>
    <w:p w14:paraId="6BC069F4">
      <w:pPr>
        <w:snapToGrid w:val="0"/>
        <w:spacing w:line="400" w:lineRule="exact"/>
        <w:rPr>
          <w:rFonts w:ascii="宋体" w:hAnsi="宋体"/>
          <w:color w:val="auto"/>
          <w:highlight w:val="none"/>
          <w:u w:val="single"/>
        </w:rPr>
      </w:pPr>
      <w:r>
        <w:rPr>
          <w:rFonts w:hint="eastAsia" w:ascii="宋体" w:hAnsi="宋体"/>
          <w:color w:val="auto"/>
          <w:highlight w:val="none"/>
          <w:u w:val="single"/>
        </w:rPr>
        <w:t xml:space="preserve">        （比选人名称）</w:t>
      </w:r>
      <w:r>
        <w:rPr>
          <w:rFonts w:hint="eastAsia" w:ascii="宋体" w:hAnsi="宋体"/>
          <w:color w:val="auto"/>
          <w:highlight w:val="none"/>
        </w:rPr>
        <w:t>：</w:t>
      </w:r>
    </w:p>
    <w:p w14:paraId="115771A7">
      <w:pPr>
        <w:snapToGrid w:val="0"/>
        <w:spacing w:line="400" w:lineRule="exact"/>
        <w:ind w:firstLine="420" w:firstLineChars="200"/>
        <w:rPr>
          <w:rFonts w:ascii="宋体" w:hAnsi="宋体"/>
          <w:color w:val="auto"/>
          <w:highlight w:val="none"/>
        </w:rPr>
      </w:pPr>
      <w:r>
        <w:rPr>
          <w:rFonts w:hint="eastAsia" w:ascii="宋体" w:hAnsi="宋体"/>
          <w:color w:val="auto"/>
          <w:highlight w:val="none"/>
        </w:rPr>
        <w:t>我公司</w:t>
      </w:r>
      <w:r>
        <w:rPr>
          <w:rFonts w:hint="eastAsia" w:ascii="宋体" w:hAnsi="宋体"/>
          <w:color w:val="auto"/>
          <w:highlight w:val="none"/>
          <w:u w:val="single"/>
        </w:rPr>
        <w:t xml:space="preserve">        （比选申请人名称）</w:t>
      </w:r>
      <w:r>
        <w:rPr>
          <w:rFonts w:hint="eastAsia" w:ascii="宋体" w:hAnsi="宋体"/>
          <w:color w:val="auto"/>
          <w:highlight w:val="none"/>
        </w:rPr>
        <w:t>参加了贵单位</w:t>
      </w:r>
      <w:r>
        <w:rPr>
          <w:rFonts w:hint="eastAsia" w:ascii="宋体" w:hAnsi="宋体"/>
          <w:color w:val="auto"/>
          <w:highlight w:val="none"/>
          <w:u w:val="single"/>
        </w:rPr>
        <w:t xml:space="preserve">        （项目名称）</w:t>
      </w:r>
      <w:r>
        <w:rPr>
          <w:rFonts w:hint="eastAsia" w:ascii="宋体" w:hAnsi="宋体"/>
          <w:color w:val="auto"/>
          <w:highlight w:val="none"/>
        </w:rPr>
        <w:t>的投标，自愿作出以下承诺：</w:t>
      </w:r>
    </w:p>
    <w:p w14:paraId="50CD29AF">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1、我公司投标截止日投标资格情况不存在下列情形之一：</w:t>
      </w:r>
    </w:p>
    <w:p w14:paraId="20D673F5">
      <w:pPr>
        <w:snapToGrid w:val="0"/>
        <w:spacing w:line="400" w:lineRule="exact"/>
        <w:ind w:firstLine="420" w:firstLineChars="200"/>
        <w:jc w:val="left"/>
        <w:rPr>
          <w:rFonts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rPr>
        <w:t>被人民法院列入失信被执行人名单且在被执行期内</w:t>
      </w:r>
      <w:r>
        <w:rPr>
          <w:rFonts w:hint="eastAsia" w:ascii="宋体" w:hAnsi="宋体"/>
          <w:color w:val="auto"/>
          <w:highlight w:val="none"/>
        </w:rPr>
        <w:t>；</w:t>
      </w:r>
    </w:p>
    <w:p w14:paraId="39A36C9A">
      <w:pPr>
        <w:snapToGrid w:val="0"/>
        <w:spacing w:line="400" w:lineRule="exact"/>
        <w:ind w:firstLine="420" w:firstLineChars="200"/>
        <w:rPr>
          <w:rFonts w:ascii="宋体" w:hAnsi="宋体"/>
          <w:color w:val="auto"/>
          <w:highlight w:val="none"/>
        </w:rPr>
      </w:pPr>
      <w:r>
        <w:rPr>
          <w:rFonts w:hint="eastAsia" w:ascii="宋体" w:hAnsi="宋体"/>
          <w:color w:val="auto"/>
          <w:highlight w:val="none"/>
        </w:rPr>
        <w:t>（2）被列入《重庆市工程建设领域招标投标信用管理暂行办法》规定的重点关注名单且记分达到12分且在记分有效期内；</w:t>
      </w:r>
    </w:p>
    <w:p w14:paraId="6FDCE70A">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（3）被列入《重庆市工程建设领域招标投标信用管理暂行办法》规定的黑名单且在记分有效期内；</w:t>
      </w:r>
    </w:p>
    <w:p w14:paraId="34A196AD">
      <w:pPr>
        <w:snapToGrid w:val="0"/>
        <w:spacing w:line="400" w:lineRule="exact"/>
        <w:ind w:firstLine="420" w:firstLineChars="200"/>
        <w:rPr>
          <w:rFonts w:ascii="宋体" w:hAnsi="宋体"/>
          <w:color w:val="auto"/>
          <w:highlight w:val="none"/>
        </w:rPr>
      </w:pPr>
      <w:r>
        <w:rPr>
          <w:rFonts w:hint="eastAsia" w:ascii="宋体" w:hAnsi="宋体"/>
          <w:color w:val="auto"/>
          <w:highlight w:val="none"/>
        </w:rPr>
        <w:t>（4）被国家、重庆市（含市或任意区县）有关行政部门处以暂停投标资格行政处罚，且在处罚期限内；</w:t>
      </w:r>
    </w:p>
    <w:p w14:paraId="10A6D3F4">
      <w:pPr>
        <w:snapToGrid w:val="0"/>
        <w:spacing w:line="400" w:lineRule="exact"/>
        <w:ind w:firstLine="420" w:firstLineChars="200"/>
        <w:rPr>
          <w:rFonts w:ascii="宋体" w:hAnsi="宋体"/>
          <w:color w:val="auto"/>
          <w:highlight w:val="none"/>
        </w:rPr>
      </w:pPr>
      <w:r>
        <w:rPr>
          <w:rFonts w:hint="eastAsia" w:ascii="宋体" w:hAnsi="宋体"/>
          <w:color w:val="auto"/>
          <w:highlight w:val="none"/>
        </w:rPr>
        <w:t>（5）</w:t>
      </w:r>
      <w:r>
        <w:rPr>
          <w:rFonts w:hint="eastAsia" w:ascii="宋体" w:hAnsi="宋体"/>
          <w:color w:val="auto"/>
          <w:szCs w:val="21"/>
          <w:highlight w:val="none"/>
        </w:rPr>
        <w:t>被重庆市市级有关行业主管部门暂停在渝承揽新业务且在暂停期内。</w:t>
      </w:r>
    </w:p>
    <w:p w14:paraId="73DE2A48">
      <w:pPr>
        <w:snapToGrid w:val="0"/>
        <w:spacing w:line="400" w:lineRule="exact"/>
        <w:ind w:firstLine="420" w:firstLineChars="200"/>
        <w:rPr>
          <w:rFonts w:ascii="宋体" w:hAnsi="宋体"/>
          <w:color w:val="auto"/>
          <w:highlight w:val="none"/>
        </w:rPr>
      </w:pPr>
      <w:r>
        <w:rPr>
          <w:rFonts w:hint="eastAsia" w:ascii="宋体" w:hAnsi="宋体"/>
          <w:color w:val="auto"/>
          <w:highlight w:val="none"/>
        </w:rPr>
        <w:t>2、我公司拟派的项目经理中标后只能在本项目任职，签订合同时拟派的项目经理必须与比选申请文件中的项目经理一致，并满足办理施工许可手续的相关要求。不能按承诺到岗履约的，按合同相关条款处罚并上报行政主管部门，给比选人造成损失的，我公司依法承担违约赔偿责任。</w:t>
      </w:r>
    </w:p>
    <w:p w14:paraId="69B83AC2">
      <w:pPr>
        <w:snapToGrid w:val="0"/>
        <w:spacing w:line="400" w:lineRule="exact"/>
        <w:ind w:firstLine="420" w:firstLineChars="200"/>
        <w:rPr>
          <w:rFonts w:ascii="宋体" w:hAnsi="宋体"/>
          <w:color w:val="auto"/>
          <w:highlight w:val="none"/>
        </w:rPr>
      </w:pPr>
      <w:r>
        <w:rPr>
          <w:rFonts w:hint="eastAsia" w:ascii="宋体" w:hAnsi="宋体"/>
          <w:color w:val="auto"/>
          <w:highlight w:val="none"/>
        </w:rPr>
        <w:t>我公司拟派的项目经理未被我市住房和城乡建设主管部门暂停在渝承揽新业务，若被暂停且参加投标的投标将被否决；已取得中标候选人资格或中标资格的，比选人有权取消其中标候选人资格或中标资格；给比选人造成损失的，我公司依法承担违约赔偿责任。</w:t>
      </w:r>
    </w:p>
    <w:p w14:paraId="03EC778C">
      <w:pPr>
        <w:numPr>
          <w:ilvl w:val="0"/>
          <w:numId w:val="5"/>
        </w:numPr>
        <w:snapToGrid w:val="0"/>
        <w:spacing w:line="400" w:lineRule="exact"/>
        <w:ind w:firstLine="420" w:firstLineChars="200"/>
        <w:rPr>
          <w:rFonts w:ascii="宋体" w:hAnsi="宋体"/>
          <w:color w:val="auto"/>
          <w:highlight w:val="none"/>
        </w:rPr>
      </w:pPr>
      <w:r>
        <w:rPr>
          <w:rFonts w:hint="eastAsia" w:ascii="宋体" w:hAnsi="宋体"/>
          <w:color w:val="auto"/>
          <w:highlight w:val="none"/>
        </w:rPr>
        <w:t>我公司若中标，在签订合同之前，将按照建设行政主管部门的要求组建施工项目部，配置项目管理班子，出具任命文件。任命文件应当明确施工项目部的职责、岗位设置、人员配备，并书面通知比选人。相关岗位管理人员应持有建设行政主管部门要求的岗位证书，并提供我公司为其缴纳的养老保险证明材料。中标后不能满足该要求的，取消我公司中标资格，给比选人造成损失的，我公司依法承担违约赔偿责任。</w:t>
      </w:r>
    </w:p>
    <w:p w14:paraId="7EB2A89D">
      <w:pPr>
        <w:snapToGrid w:val="0"/>
        <w:spacing w:line="400" w:lineRule="exact"/>
        <w:ind w:firstLine="420" w:firstLineChars="200"/>
        <w:rPr>
          <w:rFonts w:ascii="宋体" w:hAnsi="宋体"/>
          <w:color w:val="auto"/>
          <w:highlight w:val="none"/>
        </w:rPr>
      </w:pPr>
      <w:r>
        <w:rPr>
          <w:rFonts w:hint="eastAsia" w:ascii="宋体" w:hAnsi="宋体"/>
          <w:color w:val="auto"/>
          <w:highlight w:val="none"/>
        </w:rPr>
        <w:t>4、我公司的比选申请文件符合第四章合同条款及格式规定，比选申请文件中没有比选人不能接受的条件。</w:t>
      </w:r>
    </w:p>
    <w:p w14:paraId="5DC42E74">
      <w:pPr>
        <w:snapToGrid w:val="0"/>
        <w:spacing w:line="400" w:lineRule="exact"/>
        <w:ind w:firstLine="420" w:firstLineChars="200"/>
        <w:rPr>
          <w:rFonts w:ascii="宋体" w:hAnsi="宋体"/>
          <w:color w:val="auto"/>
          <w:highlight w:val="none"/>
        </w:rPr>
      </w:pPr>
      <w:r>
        <w:rPr>
          <w:rFonts w:hint="eastAsia" w:ascii="宋体" w:hAnsi="宋体"/>
          <w:color w:val="auto"/>
          <w:highlight w:val="none"/>
        </w:rPr>
        <w:t>5、我公司的比选申请文件符合第七章 技术标准和要求（如有）。</w:t>
      </w:r>
    </w:p>
    <w:p w14:paraId="73CDCBBD">
      <w:pPr>
        <w:autoSpaceDE w:val="0"/>
        <w:autoSpaceDN w:val="0"/>
        <w:adjustRightInd w:val="0"/>
        <w:snapToGrid w:val="0"/>
        <w:spacing w:line="360" w:lineRule="auto"/>
        <w:jc w:val="left"/>
        <w:rPr>
          <w:rFonts w:ascii="宋体" w:hAnsi="宋体"/>
          <w:color w:val="auto"/>
          <w:kern w:val="0"/>
          <w:highlight w:val="none"/>
        </w:rPr>
      </w:pPr>
      <w:r>
        <w:rPr>
          <w:rFonts w:hint="eastAsia" w:ascii="宋体" w:hAnsi="宋体"/>
          <w:color w:val="auto"/>
          <w:kern w:val="0"/>
          <w:highlight w:val="none"/>
        </w:rPr>
        <w:t xml:space="preserve"> </w:t>
      </w:r>
    </w:p>
    <w:p w14:paraId="3D18530B">
      <w:pPr>
        <w:autoSpaceDE w:val="0"/>
        <w:autoSpaceDN w:val="0"/>
        <w:adjustRightInd w:val="0"/>
        <w:snapToGrid w:val="0"/>
        <w:spacing w:line="360" w:lineRule="auto"/>
        <w:ind w:firstLine="420" w:firstLineChars="200"/>
        <w:jc w:val="left"/>
        <w:rPr>
          <w:rFonts w:ascii="宋体" w:hAnsi="宋体"/>
          <w:color w:val="auto"/>
          <w:kern w:val="0"/>
          <w:highlight w:val="none"/>
        </w:rPr>
      </w:pPr>
      <w:r>
        <w:rPr>
          <w:rFonts w:hint="eastAsia" w:ascii="宋体" w:hAnsi="宋体"/>
          <w:color w:val="auto"/>
          <w:kern w:val="0"/>
          <w:highlight w:val="none"/>
        </w:rPr>
        <w:t>比选申请人名称：</w:t>
      </w:r>
      <w:r>
        <w:rPr>
          <w:rFonts w:hint="eastAsia" w:ascii="宋体" w:hAnsi="宋体"/>
          <w:color w:val="auto"/>
          <w:kern w:val="0"/>
          <w:highlight w:val="none"/>
          <w:u w:val="single"/>
        </w:rPr>
        <w:t xml:space="preserve">                           </w:t>
      </w:r>
      <w:r>
        <w:rPr>
          <w:rFonts w:hint="eastAsia" w:ascii="宋体" w:hAnsi="宋体"/>
          <w:color w:val="auto"/>
          <w:kern w:val="0"/>
          <w:highlight w:val="none"/>
        </w:rPr>
        <w:t>（</w:t>
      </w:r>
      <w:r>
        <w:rPr>
          <w:rFonts w:hint="eastAsia" w:ascii="宋体" w:hAnsi="宋体"/>
          <w:color w:val="auto"/>
          <w:spacing w:val="-1"/>
          <w:kern w:val="0"/>
          <w:highlight w:val="none"/>
        </w:rPr>
        <w:t>盖单位法人章</w:t>
      </w:r>
      <w:r>
        <w:rPr>
          <w:rFonts w:hint="eastAsia" w:ascii="宋体" w:hAnsi="宋体"/>
          <w:color w:val="auto"/>
          <w:kern w:val="0"/>
          <w:highlight w:val="none"/>
        </w:rPr>
        <w:t>）</w:t>
      </w:r>
    </w:p>
    <w:p w14:paraId="11A1EDBB">
      <w:pPr>
        <w:autoSpaceDE w:val="0"/>
        <w:autoSpaceDN w:val="0"/>
        <w:adjustRightInd w:val="0"/>
        <w:snapToGrid w:val="0"/>
        <w:spacing w:line="360" w:lineRule="auto"/>
        <w:ind w:firstLine="420" w:firstLineChars="200"/>
        <w:jc w:val="left"/>
        <w:rPr>
          <w:rFonts w:ascii="宋体" w:hAnsi="宋体"/>
          <w:color w:val="auto"/>
          <w:kern w:val="0"/>
          <w:highlight w:val="none"/>
        </w:rPr>
      </w:pPr>
      <w:r>
        <w:rPr>
          <w:rFonts w:hint="eastAsia" w:ascii="宋体" w:hAnsi="宋体"/>
          <w:color w:val="auto"/>
          <w:kern w:val="0"/>
          <w:highlight w:val="none"/>
        </w:rPr>
        <w:t>法定代表人：</w:t>
      </w:r>
      <w:r>
        <w:rPr>
          <w:rFonts w:hint="eastAsia" w:ascii="宋体" w:hAnsi="宋体"/>
          <w:color w:val="auto"/>
          <w:kern w:val="0"/>
          <w:highlight w:val="none"/>
          <w:u w:val="single"/>
        </w:rPr>
        <w:t xml:space="preserve">                           </w:t>
      </w:r>
      <w:r>
        <w:rPr>
          <w:rFonts w:hint="eastAsia" w:ascii="宋体" w:hAnsi="宋体"/>
          <w:color w:val="auto"/>
          <w:kern w:val="0"/>
          <w:highlight w:val="none"/>
        </w:rPr>
        <w:t>（签名）</w:t>
      </w:r>
    </w:p>
    <w:p w14:paraId="2C498747">
      <w:pPr>
        <w:autoSpaceDE w:val="0"/>
        <w:autoSpaceDN w:val="0"/>
        <w:adjustRightInd w:val="0"/>
        <w:snapToGrid w:val="0"/>
        <w:spacing w:line="360" w:lineRule="auto"/>
        <w:ind w:firstLine="420" w:firstLineChars="200"/>
        <w:jc w:val="left"/>
        <w:rPr>
          <w:rFonts w:ascii="宋体" w:hAnsi="宋体"/>
          <w:color w:val="auto"/>
          <w:kern w:val="0"/>
          <w:highlight w:val="none"/>
        </w:rPr>
      </w:pPr>
      <w:r>
        <w:rPr>
          <w:rFonts w:hint="eastAsia" w:ascii="宋体" w:hAnsi="宋体"/>
          <w:color w:val="auto"/>
          <w:kern w:val="0"/>
          <w:highlight w:val="none"/>
        </w:rPr>
        <w:t xml:space="preserve"> </w:t>
      </w:r>
    </w:p>
    <w:p w14:paraId="3221A2AF">
      <w:pPr>
        <w:autoSpaceDE w:val="0"/>
        <w:autoSpaceDN w:val="0"/>
        <w:adjustRightInd w:val="0"/>
        <w:snapToGrid w:val="0"/>
        <w:ind w:firstLine="420" w:firstLineChars="200"/>
        <w:jc w:val="right"/>
        <w:rPr>
          <w:rFonts w:ascii="宋体" w:hAnsi="宋体"/>
          <w:b/>
          <w:bCs/>
          <w:color w:val="auto"/>
          <w:highlight w:val="none"/>
        </w:rPr>
      </w:pP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日</w:t>
      </w:r>
    </w:p>
    <w:p w14:paraId="576F19CF">
      <w:pPr>
        <w:pStyle w:val="5"/>
        <w:jc w:val="center"/>
        <w:rPr>
          <w:rFonts w:ascii="宋体" w:hAnsi="宋体"/>
          <w:b w:val="0"/>
          <w:bCs w:val="0"/>
          <w:color w:val="auto"/>
          <w:sz w:val="44"/>
          <w:szCs w:val="44"/>
          <w:highlight w:val="none"/>
        </w:rPr>
      </w:pPr>
      <w:r>
        <w:rPr>
          <w:rFonts w:ascii="宋体" w:hAnsi="宋体"/>
          <w:color w:val="auto"/>
          <w:szCs w:val="21"/>
          <w:highlight w:val="none"/>
        </w:rPr>
        <w:br w:type="page"/>
      </w:r>
      <w:bookmarkStart w:id="3064" w:name="_Toc6651"/>
      <w:bookmarkStart w:id="3065" w:name="_Toc24643"/>
      <w:bookmarkStart w:id="3066" w:name="_Toc2534"/>
      <w:r>
        <w:rPr>
          <w:rFonts w:hint="eastAsia" w:ascii="宋体" w:hAnsi="宋体"/>
          <w:color w:val="auto"/>
          <w:szCs w:val="21"/>
          <w:highlight w:val="none"/>
        </w:rPr>
        <w:t>（五）其他资料</w:t>
      </w:r>
      <w:bookmarkEnd w:id="3064"/>
      <w:bookmarkEnd w:id="3065"/>
      <w:bookmarkEnd w:id="3066"/>
    </w:p>
    <w:p w14:paraId="13443A81">
      <w:pPr>
        <w:pStyle w:val="45"/>
        <w:rPr>
          <w:color w:val="auto"/>
          <w:highlight w:val="none"/>
        </w:rPr>
      </w:pPr>
    </w:p>
    <w:p w14:paraId="60A62B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p>
    <w:p w14:paraId="27C691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 </w:t>
      </w:r>
    </w:p>
    <w:p w14:paraId="0C41DB7B">
      <w:pPr>
        <w:spacing w:line="360" w:lineRule="auto"/>
        <w:ind w:firstLine="420" w:firstLineChars="200"/>
        <w:rPr>
          <w:rFonts w:ascii="宋体" w:hAnsi="宋体"/>
          <w:b/>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8"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52704CA9">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2336;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GBhk2QAAAA0BAAAPAAAAAAAAAAEAIAAAACIAAABkcnMvZG93bnJldi54bWxQSwECFAAUAAAA&#10;CACHTuJA3aJL2u0BAAC/AwAADgAAAAAAAAABACAAAAAoAQAAZHJzL2Uyb0RvYy54bWxQSwUGAAAA&#10;AAYABgBZAQAAhwUAAAAA&#10;">
                <v:fill on="f" focussize="0,0"/>
                <v:stroke on="f"/>
                <v:imagedata o:title=""/>
                <o:lock v:ext="edit" aspectratio="f"/>
                <v:textbox inset="0mm,0mm,0mm,0mm" style="mso-fit-shape-to-text:t;">
                  <w:txbxContent>
                    <w:p w14:paraId="52704CA9">
                      <w:pPr>
                        <w:rPr>
                          <w:sz w:val="20"/>
                        </w:rPr>
                      </w:pPr>
                      <w:r>
                        <w:rPr>
                          <w:rFonts w:hint="eastAsia" w:ascii="宋体" w:cs="宋体"/>
                          <w:bCs/>
                          <w:color w:val="000000"/>
                          <w:sz w:val="22"/>
                        </w:rPr>
                        <w:t>密封线</w:t>
                      </w:r>
                    </w:p>
                  </w:txbxContent>
                </v:textbox>
              </v:rect>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23"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240F1F8">
                            <w:pPr>
                              <w:rPr>
                                <w:sz w:val="20"/>
                              </w:rPr>
                            </w:pP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CB4xLLtAQAAvwMAAA4AAAAAAAAAAQAgAAAAKQEAAGRycy9lMm9Eb2MueG1sUEsFBgAA&#10;AAAGAAYAWQEAAIgFAAAAAA==&#10;">
                <v:fill on="f" focussize="0,0"/>
                <v:stroke on="f"/>
                <v:imagedata o:title=""/>
                <o:lock v:ext="edit" aspectratio="f"/>
                <v:textbox inset="0mm,0mm,0mm,0mm" style="mso-fit-shape-to-text:t;">
                  <w:txbxContent>
                    <w:p w14:paraId="6240F1F8">
                      <w:pPr>
                        <w:rPr>
                          <w:sz w:val="20"/>
                        </w:rPr>
                      </w:pPr>
                    </w:p>
                  </w:txbxContent>
                </v:textbox>
              </v:rect>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5554BD6B">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0288;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5554BD6B">
                      <w:pPr>
                        <w:rPr>
                          <w:sz w:val="20"/>
                        </w:rPr>
                      </w:pPr>
                      <w:r>
                        <w:rPr>
                          <w:rFonts w:hint="eastAsia" w:ascii="宋体" w:cs="宋体"/>
                          <w:bCs/>
                          <w:color w:val="000000"/>
                          <w:sz w:val="22"/>
                        </w:rPr>
                        <w:t>密封线</w:t>
                      </w: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 ，Arial">
    <w:altName w:val="宋体"/>
    <w:panose1 w:val="00000000000000000000"/>
    <w:charset w:val="86"/>
    <w:family w:val="roman"/>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06E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901D">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9</w:t>
    </w:r>
    <w:r>
      <w:fldChar w:fldCharType="end"/>
    </w:r>
  </w:p>
  <w:p w14:paraId="060D26D0">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6D9B">
    <w:pPr>
      <w:pStyle w:val="29"/>
      <w:jc w:val="center"/>
    </w:pPr>
    <w:r>
      <w:t xml:space="preserve">- </w:t>
    </w:r>
    <w:r>
      <w:fldChar w:fldCharType="begin"/>
    </w:r>
    <w:r>
      <w:instrText xml:space="preserve"> PAGE </w:instrText>
    </w:r>
    <w:r>
      <w:fldChar w:fldCharType="separate"/>
    </w:r>
    <w:r>
      <w:t>208</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03E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FA1A4"/>
    <w:multiLevelType w:val="singleLevel"/>
    <w:tmpl w:val="E22FA1A4"/>
    <w:lvl w:ilvl="0" w:tentative="0">
      <w:start w:val="1"/>
      <w:numFmt w:val="decimal"/>
      <w:lvlText w:val="%1."/>
      <w:lvlJc w:val="left"/>
      <w:pPr>
        <w:tabs>
          <w:tab w:val="left" w:pos="312"/>
        </w:tabs>
      </w:pPr>
    </w:lvl>
  </w:abstractNum>
  <w:abstractNum w:abstractNumId="1">
    <w:nsid w:val="0A0E7E5C"/>
    <w:multiLevelType w:val="multilevel"/>
    <w:tmpl w:val="0A0E7E5C"/>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7474604"/>
    <w:multiLevelType w:val="multilevel"/>
    <w:tmpl w:val="17474604"/>
    <w:lvl w:ilvl="0" w:tentative="0">
      <w:start w:val="1"/>
      <w:numFmt w:val="decimal"/>
      <w:lvlText w:val="第%1条"/>
      <w:lvlJc w:val="left"/>
      <w:pPr>
        <w:ind w:left="0" w:firstLine="0"/>
      </w:pPr>
      <w:rPr>
        <w:rFonts w:hint="default" w:ascii="Times New Roman" w:hAnsi="Times New Roman" w:cs="Times New Roman"/>
      </w:rPr>
    </w:lvl>
    <w:lvl w:ilvl="1" w:tentative="0">
      <w:start w:val="1"/>
      <w:numFmt w:val="decimal"/>
      <w:lvlText w:val="%1.%2"/>
      <w:lvlJc w:val="left"/>
      <w:pPr>
        <w:ind w:left="1843" w:firstLine="0"/>
      </w:pPr>
      <w:rPr>
        <w:rFonts w:hint="default" w:ascii="Times New Roman" w:hAnsi="Times New Roman" w:cs="Times New Roman"/>
      </w:rPr>
    </w:lvl>
    <w:lvl w:ilvl="2" w:tentative="0">
      <w:start w:val="1"/>
      <w:numFmt w:val="decimal"/>
      <w:lvlText w:val="%1.%2.%3"/>
      <w:lvlJc w:val="left"/>
      <w:pPr>
        <w:ind w:left="2126" w:firstLine="0"/>
      </w:pPr>
      <w:rPr>
        <w:rFonts w:hint="default" w:ascii="Times New Roman" w:hAnsi="Times New Roman" w:cs="Times New Roman"/>
      </w:rPr>
    </w:lvl>
    <w:lvl w:ilvl="3" w:tentative="0">
      <w:start w:val="1"/>
      <w:numFmt w:val="decimal"/>
      <w:lvlText w:val="%1.%2.%3.%4"/>
      <w:lvlJc w:val="left"/>
      <w:pPr>
        <w:ind w:left="0" w:firstLine="0"/>
      </w:pPr>
      <w:rPr>
        <w:rFonts w:hint="default" w:ascii="Times New Roman" w:hAnsi="Times New Roman" w:cs="Times New Roman"/>
      </w:rPr>
    </w:lvl>
    <w:lvl w:ilvl="4" w:tentative="0">
      <w:start w:val="1"/>
      <w:numFmt w:val="decimal"/>
      <w:lvlText w:val="%1.%2.%3.%4.%5"/>
      <w:lvlJc w:val="left"/>
      <w:pPr>
        <w:ind w:left="0" w:firstLine="0"/>
      </w:pPr>
      <w:rPr>
        <w:rFonts w:hint="default" w:ascii="Times New Roman" w:hAnsi="Times New Roman" w:cs="Times New Roman"/>
      </w:rPr>
    </w:lvl>
    <w:lvl w:ilvl="5" w:tentative="0">
      <w:start w:val="1"/>
      <w:numFmt w:val="decimal"/>
      <w:lvlText w:val="%1.%2.%3.%4.%5.%6"/>
      <w:lvlJc w:val="left"/>
      <w:pPr>
        <w:ind w:left="0" w:firstLine="0"/>
      </w:pPr>
      <w:rPr>
        <w:rFonts w:hint="default" w:ascii="Times New Roman" w:hAnsi="Times New Roman" w:cs="Times New Roman"/>
      </w:rPr>
    </w:lvl>
    <w:lvl w:ilvl="6" w:tentative="0">
      <w:start w:val="1"/>
      <w:numFmt w:val="decimal"/>
      <w:lvlText w:val="%1.%2.%3.%4.%5.%6.%7"/>
      <w:lvlJc w:val="left"/>
      <w:pPr>
        <w:ind w:left="0" w:firstLine="0"/>
      </w:pPr>
      <w:rPr>
        <w:rFonts w:hint="default" w:ascii="Times New Roman" w:hAnsi="Times New Roman" w:cs="Times New Roman"/>
      </w:rPr>
    </w:lvl>
    <w:lvl w:ilvl="7" w:tentative="0">
      <w:start w:val="1"/>
      <w:numFmt w:val="decimal"/>
      <w:lvlText w:val="%1.%2.%3.%4.%5.%6.%7.%8"/>
      <w:lvlJc w:val="left"/>
      <w:pPr>
        <w:ind w:left="0" w:firstLine="0"/>
      </w:pPr>
      <w:rPr>
        <w:rFonts w:hint="default" w:ascii="Times New Roman" w:hAnsi="Times New Roman" w:cs="Times New Roman"/>
      </w:rPr>
    </w:lvl>
    <w:lvl w:ilvl="8" w:tentative="0">
      <w:start w:val="1"/>
      <w:numFmt w:val="decimal"/>
      <w:lvlText w:val="%1.%2.%3.%4.%5.%6.%7.%8.%9"/>
      <w:lvlJc w:val="left"/>
      <w:pPr>
        <w:ind w:left="0" w:firstLine="0"/>
      </w:pPr>
      <w:rPr>
        <w:rFonts w:hint="default" w:ascii="Times New Roman" w:hAnsi="Times New Roman" w:cs="Times New Roman"/>
      </w:rPr>
    </w:lvl>
  </w:abstractNum>
  <w:abstractNum w:abstractNumId="3">
    <w:nsid w:val="3E30FAD9"/>
    <w:multiLevelType w:val="singleLevel"/>
    <w:tmpl w:val="3E30FAD9"/>
    <w:lvl w:ilvl="0" w:tentative="0">
      <w:start w:val="1"/>
      <w:numFmt w:val="decimal"/>
      <w:suff w:val="nothing"/>
      <w:lvlText w:val="（%1）"/>
      <w:lvlJc w:val="left"/>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4"/>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MzU4MzE0MjViNDA1ZDg4OTdkNGE2OGYyMWEwZTEifQ=="/>
  </w:docVars>
  <w:rsids>
    <w:rsidRoot w:val="00172A27"/>
    <w:rsid w:val="00001B1E"/>
    <w:rsid w:val="000027C8"/>
    <w:rsid w:val="00003A3F"/>
    <w:rsid w:val="00005E79"/>
    <w:rsid w:val="000067A3"/>
    <w:rsid w:val="00010708"/>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51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33A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0538"/>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32C2"/>
    <w:rsid w:val="00204D75"/>
    <w:rsid w:val="002050D7"/>
    <w:rsid w:val="002051B0"/>
    <w:rsid w:val="00205413"/>
    <w:rsid w:val="0020686F"/>
    <w:rsid w:val="002076AA"/>
    <w:rsid w:val="0021027A"/>
    <w:rsid w:val="00212A14"/>
    <w:rsid w:val="00214117"/>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0FDA"/>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127"/>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171B"/>
    <w:rsid w:val="003B231B"/>
    <w:rsid w:val="003B3157"/>
    <w:rsid w:val="003B3B43"/>
    <w:rsid w:val="003B3FC0"/>
    <w:rsid w:val="003B4786"/>
    <w:rsid w:val="003B56E2"/>
    <w:rsid w:val="003B602A"/>
    <w:rsid w:val="003B71D0"/>
    <w:rsid w:val="003B7450"/>
    <w:rsid w:val="003C03AA"/>
    <w:rsid w:val="003C1A92"/>
    <w:rsid w:val="003C21C5"/>
    <w:rsid w:val="003C2282"/>
    <w:rsid w:val="003C2C74"/>
    <w:rsid w:val="003C374D"/>
    <w:rsid w:val="003C3E88"/>
    <w:rsid w:val="003C45E6"/>
    <w:rsid w:val="003C568C"/>
    <w:rsid w:val="003C63A8"/>
    <w:rsid w:val="003C6725"/>
    <w:rsid w:val="003C6D8D"/>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3CA"/>
    <w:rsid w:val="004A39D9"/>
    <w:rsid w:val="004A3BE1"/>
    <w:rsid w:val="004A45C0"/>
    <w:rsid w:val="004A4B79"/>
    <w:rsid w:val="004A5051"/>
    <w:rsid w:val="004A70C3"/>
    <w:rsid w:val="004A7948"/>
    <w:rsid w:val="004A7ADA"/>
    <w:rsid w:val="004B0657"/>
    <w:rsid w:val="004B134A"/>
    <w:rsid w:val="004B147C"/>
    <w:rsid w:val="004B256E"/>
    <w:rsid w:val="004B2D58"/>
    <w:rsid w:val="004B4A7C"/>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6483"/>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C"/>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640"/>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2E3E"/>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2080"/>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7F4"/>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22F5"/>
    <w:rsid w:val="0066358C"/>
    <w:rsid w:val="006650EA"/>
    <w:rsid w:val="00666566"/>
    <w:rsid w:val="0066661E"/>
    <w:rsid w:val="00666821"/>
    <w:rsid w:val="00670441"/>
    <w:rsid w:val="006718E5"/>
    <w:rsid w:val="00671A10"/>
    <w:rsid w:val="00672CE5"/>
    <w:rsid w:val="00674103"/>
    <w:rsid w:val="00674F36"/>
    <w:rsid w:val="00674FDB"/>
    <w:rsid w:val="006753B8"/>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08FB"/>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4AF"/>
    <w:rsid w:val="00767B35"/>
    <w:rsid w:val="007709C0"/>
    <w:rsid w:val="00770CBC"/>
    <w:rsid w:val="00770D17"/>
    <w:rsid w:val="00771A5F"/>
    <w:rsid w:val="00771BA2"/>
    <w:rsid w:val="00771EA2"/>
    <w:rsid w:val="00772D14"/>
    <w:rsid w:val="0077342F"/>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586"/>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4DD5"/>
    <w:rsid w:val="00965BE5"/>
    <w:rsid w:val="00965D6D"/>
    <w:rsid w:val="0096721E"/>
    <w:rsid w:val="009678CB"/>
    <w:rsid w:val="00967A83"/>
    <w:rsid w:val="009700F7"/>
    <w:rsid w:val="00970D15"/>
    <w:rsid w:val="009717E4"/>
    <w:rsid w:val="00971861"/>
    <w:rsid w:val="00972BB4"/>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2E67"/>
    <w:rsid w:val="009937FC"/>
    <w:rsid w:val="009948BB"/>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257F"/>
    <w:rsid w:val="00A345A7"/>
    <w:rsid w:val="00A371EB"/>
    <w:rsid w:val="00A37D42"/>
    <w:rsid w:val="00A41E6F"/>
    <w:rsid w:val="00A425C1"/>
    <w:rsid w:val="00A431C0"/>
    <w:rsid w:val="00A43902"/>
    <w:rsid w:val="00A4426D"/>
    <w:rsid w:val="00A44B7E"/>
    <w:rsid w:val="00A44FDF"/>
    <w:rsid w:val="00A450A8"/>
    <w:rsid w:val="00A46F87"/>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877E6"/>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6F2"/>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319"/>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6777"/>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4E25"/>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0E4"/>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C60"/>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0D6"/>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1BF"/>
    <w:rsid w:val="00CF5A08"/>
    <w:rsid w:val="00CF7883"/>
    <w:rsid w:val="00D00207"/>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4D88"/>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1895"/>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946"/>
    <w:rsid w:val="00D92F8A"/>
    <w:rsid w:val="00D93379"/>
    <w:rsid w:val="00D967A9"/>
    <w:rsid w:val="00D969D1"/>
    <w:rsid w:val="00D9763D"/>
    <w:rsid w:val="00DA0302"/>
    <w:rsid w:val="00DA0369"/>
    <w:rsid w:val="00DA0496"/>
    <w:rsid w:val="00DA07DE"/>
    <w:rsid w:val="00DA0BED"/>
    <w:rsid w:val="00DA0DF1"/>
    <w:rsid w:val="00DA2047"/>
    <w:rsid w:val="00DA26AA"/>
    <w:rsid w:val="00DA326C"/>
    <w:rsid w:val="00DA3EC7"/>
    <w:rsid w:val="00DA4387"/>
    <w:rsid w:val="00DA477E"/>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57"/>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1E4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34705"/>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2F"/>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3804"/>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17B8"/>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272"/>
    <w:rsid w:val="00FF35F6"/>
    <w:rsid w:val="00FF5C39"/>
    <w:rsid w:val="00FF6321"/>
    <w:rsid w:val="00FF67D2"/>
    <w:rsid w:val="00FF7622"/>
    <w:rsid w:val="013F4369"/>
    <w:rsid w:val="02197498"/>
    <w:rsid w:val="029B6737"/>
    <w:rsid w:val="029E16D8"/>
    <w:rsid w:val="02D3433D"/>
    <w:rsid w:val="02E7478A"/>
    <w:rsid w:val="03000A08"/>
    <w:rsid w:val="03454DED"/>
    <w:rsid w:val="03C545D6"/>
    <w:rsid w:val="04553F6E"/>
    <w:rsid w:val="046D5737"/>
    <w:rsid w:val="04717E20"/>
    <w:rsid w:val="05306615"/>
    <w:rsid w:val="053D529E"/>
    <w:rsid w:val="05AB059E"/>
    <w:rsid w:val="05DC71B6"/>
    <w:rsid w:val="06665122"/>
    <w:rsid w:val="06C43DE0"/>
    <w:rsid w:val="06C64491"/>
    <w:rsid w:val="074A1FE5"/>
    <w:rsid w:val="077305E3"/>
    <w:rsid w:val="080A52B6"/>
    <w:rsid w:val="09E8521E"/>
    <w:rsid w:val="0A93506B"/>
    <w:rsid w:val="0AE41BA8"/>
    <w:rsid w:val="0B9E48FD"/>
    <w:rsid w:val="0BB622A7"/>
    <w:rsid w:val="0C3E42BE"/>
    <w:rsid w:val="0D4806BF"/>
    <w:rsid w:val="0E024D74"/>
    <w:rsid w:val="0E0B0A7A"/>
    <w:rsid w:val="0E484301"/>
    <w:rsid w:val="0E5F1249"/>
    <w:rsid w:val="102B5AE8"/>
    <w:rsid w:val="102C6305"/>
    <w:rsid w:val="10611A0A"/>
    <w:rsid w:val="10AC5059"/>
    <w:rsid w:val="113464A3"/>
    <w:rsid w:val="116D0F4A"/>
    <w:rsid w:val="127A292F"/>
    <w:rsid w:val="1282121E"/>
    <w:rsid w:val="12D938C7"/>
    <w:rsid w:val="13012641"/>
    <w:rsid w:val="13FD7A4B"/>
    <w:rsid w:val="146E3E3D"/>
    <w:rsid w:val="14DC6FEA"/>
    <w:rsid w:val="152F2422"/>
    <w:rsid w:val="15F36B10"/>
    <w:rsid w:val="15F67B8F"/>
    <w:rsid w:val="15F873A5"/>
    <w:rsid w:val="162419F3"/>
    <w:rsid w:val="16AA639C"/>
    <w:rsid w:val="16CD33F4"/>
    <w:rsid w:val="16E1457B"/>
    <w:rsid w:val="16F26FDC"/>
    <w:rsid w:val="17721137"/>
    <w:rsid w:val="17E75995"/>
    <w:rsid w:val="184D20E2"/>
    <w:rsid w:val="19450E59"/>
    <w:rsid w:val="19483FD9"/>
    <w:rsid w:val="195B1BCF"/>
    <w:rsid w:val="19651BB1"/>
    <w:rsid w:val="19813FB0"/>
    <w:rsid w:val="1A3D4C07"/>
    <w:rsid w:val="1B5A4D98"/>
    <w:rsid w:val="1B610368"/>
    <w:rsid w:val="1BA96B88"/>
    <w:rsid w:val="1BE760CD"/>
    <w:rsid w:val="1C6A496F"/>
    <w:rsid w:val="1DD063A3"/>
    <w:rsid w:val="1F125176"/>
    <w:rsid w:val="1F374DC3"/>
    <w:rsid w:val="1F4153C3"/>
    <w:rsid w:val="1FFE6BEE"/>
    <w:rsid w:val="204F166B"/>
    <w:rsid w:val="20BA340F"/>
    <w:rsid w:val="210E1A59"/>
    <w:rsid w:val="216F7993"/>
    <w:rsid w:val="21825E03"/>
    <w:rsid w:val="21BB220E"/>
    <w:rsid w:val="221D5633"/>
    <w:rsid w:val="24A10DF8"/>
    <w:rsid w:val="26C171CB"/>
    <w:rsid w:val="278A20BA"/>
    <w:rsid w:val="2805374C"/>
    <w:rsid w:val="28054429"/>
    <w:rsid w:val="285A1251"/>
    <w:rsid w:val="286E52FC"/>
    <w:rsid w:val="29D2204B"/>
    <w:rsid w:val="2A4B0393"/>
    <w:rsid w:val="2ABB7DF2"/>
    <w:rsid w:val="2ADA4EF4"/>
    <w:rsid w:val="2ADE448E"/>
    <w:rsid w:val="2BD902EC"/>
    <w:rsid w:val="2D0C6C82"/>
    <w:rsid w:val="2D484B14"/>
    <w:rsid w:val="2DC571B1"/>
    <w:rsid w:val="2E135BB8"/>
    <w:rsid w:val="2E386092"/>
    <w:rsid w:val="2EE737A0"/>
    <w:rsid w:val="2EF21CAB"/>
    <w:rsid w:val="2F3841ED"/>
    <w:rsid w:val="2F58187C"/>
    <w:rsid w:val="2FE37DD1"/>
    <w:rsid w:val="30B1408E"/>
    <w:rsid w:val="30CE71F9"/>
    <w:rsid w:val="30EF67E5"/>
    <w:rsid w:val="310311E3"/>
    <w:rsid w:val="31F4722E"/>
    <w:rsid w:val="320B7848"/>
    <w:rsid w:val="32432DA9"/>
    <w:rsid w:val="328D7DE2"/>
    <w:rsid w:val="32BA571C"/>
    <w:rsid w:val="32EE6C13"/>
    <w:rsid w:val="33C53375"/>
    <w:rsid w:val="344D3544"/>
    <w:rsid w:val="34562CDE"/>
    <w:rsid w:val="35DB1C68"/>
    <w:rsid w:val="35EC697A"/>
    <w:rsid w:val="3607724B"/>
    <w:rsid w:val="3628220E"/>
    <w:rsid w:val="36F4767F"/>
    <w:rsid w:val="37060F75"/>
    <w:rsid w:val="378418A7"/>
    <w:rsid w:val="383C102E"/>
    <w:rsid w:val="386709AA"/>
    <w:rsid w:val="387D642F"/>
    <w:rsid w:val="38D86C09"/>
    <w:rsid w:val="3919772A"/>
    <w:rsid w:val="3A310809"/>
    <w:rsid w:val="3A7645E5"/>
    <w:rsid w:val="3AA01AB2"/>
    <w:rsid w:val="3AC705C2"/>
    <w:rsid w:val="3B3339E2"/>
    <w:rsid w:val="3B4130B9"/>
    <w:rsid w:val="3BBF0327"/>
    <w:rsid w:val="3D4027C3"/>
    <w:rsid w:val="3DB46376"/>
    <w:rsid w:val="3DFB39FD"/>
    <w:rsid w:val="3E287CA5"/>
    <w:rsid w:val="3E971150"/>
    <w:rsid w:val="3ED16F9F"/>
    <w:rsid w:val="3ED95EA9"/>
    <w:rsid w:val="3EFE309E"/>
    <w:rsid w:val="3F512870"/>
    <w:rsid w:val="3F6236D0"/>
    <w:rsid w:val="3F94702A"/>
    <w:rsid w:val="3FE06D3B"/>
    <w:rsid w:val="3FE2521F"/>
    <w:rsid w:val="40706BBC"/>
    <w:rsid w:val="40D309FB"/>
    <w:rsid w:val="41314E40"/>
    <w:rsid w:val="41D71CA1"/>
    <w:rsid w:val="4233454F"/>
    <w:rsid w:val="426F6AE9"/>
    <w:rsid w:val="42A77BCB"/>
    <w:rsid w:val="43527DA5"/>
    <w:rsid w:val="444572CC"/>
    <w:rsid w:val="446454B9"/>
    <w:rsid w:val="45093CD4"/>
    <w:rsid w:val="454D7023"/>
    <w:rsid w:val="46F07AD6"/>
    <w:rsid w:val="48826C2D"/>
    <w:rsid w:val="489573EB"/>
    <w:rsid w:val="48B20F3F"/>
    <w:rsid w:val="49CF100D"/>
    <w:rsid w:val="4AF83480"/>
    <w:rsid w:val="4B85051F"/>
    <w:rsid w:val="4C806421"/>
    <w:rsid w:val="4CA0475B"/>
    <w:rsid w:val="4CA9593B"/>
    <w:rsid w:val="4CDF4A30"/>
    <w:rsid w:val="4D0E1A0D"/>
    <w:rsid w:val="4D217AEF"/>
    <w:rsid w:val="4D450A84"/>
    <w:rsid w:val="4DFB11F6"/>
    <w:rsid w:val="4E311931"/>
    <w:rsid w:val="4E774DAA"/>
    <w:rsid w:val="4EF13B48"/>
    <w:rsid w:val="4FB76013"/>
    <w:rsid w:val="501678AE"/>
    <w:rsid w:val="50EB36A6"/>
    <w:rsid w:val="51182849"/>
    <w:rsid w:val="52D80BEE"/>
    <w:rsid w:val="53000B16"/>
    <w:rsid w:val="538928D5"/>
    <w:rsid w:val="546B6E19"/>
    <w:rsid w:val="548254F0"/>
    <w:rsid w:val="5485514F"/>
    <w:rsid w:val="548D558B"/>
    <w:rsid w:val="549A6C2B"/>
    <w:rsid w:val="54C36344"/>
    <w:rsid w:val="55004DFD"/>
    <w:rsid w:val="55082A65"/>
    <w:rsid w:val="55A94D22"/>
    <w:rsid w:val="55C53EA6"/>
    <w:rsid w:val="565B7FD3"/>
    <w:rsid w:val="57AB20B7"/>
    <w:rsid w:val="57D4668D"/>
    <w:rsid w:val="59016536"/>
    <w:rsid w:val="590C29FE"/>
    <w:rsid w:val="59382F53"/>
    <w:rsid w:val="59A537CB"/>
    <w:rsid w:val="59F26FCA"/>
    <w:rsid w:val="5A2B7E5E"/>
    <w:rsid w:val="5AA07F40"/>
    <w:rsid w:val="5AE34FA5"/>
    <w:rsid w:val="5B071AB3"/>
    <w:rsid w:val="5B5D6FAA"/>
    <w:rsid w:val="5B650D9F"/>
    <w:rsid w:val="5B7C4A30"/>
    <w:rsid w:val="5B8A26BD"/>
    <w:rsid w:val="5BDE0537"/>
    <w:rsid w:val="5BEA2363"/>
    <w:rsid w:val="5BED4D57"/>
    <w:rsid w:val="5D0E6CE6"/>
    <w:rsid w:val="5D4D387D"/>
    <w:rsid w:val="5D6851F5"/>
    <w:rsid w:val="5E531B97"/>
    <w:rsid w:val="5F144DEA"/>
    <w:rsid w:val="5F7E3018"/>
    <w:rsid w:val="60F1388E"/>
    <w:rsid w:val="611A4C01"/>
    <w:rsid w:val="61A77079"/>
    <w:rsid w:val="62D6732E"/>
    <w:rsid w:val="638279B4"/>
    <w:rsid w:val="639C64A0"/>
    <w:rsid w:val="642372D3"/>
    <w:rsid w:val="651708B8"/>
    <w:rsid w:val="65454382"/>
    <w:rsid w:val="655D7FBE"/>
    <w:rsid w:val="65FF1E91"/>
    <w:rsid w:val="68BB4E93"/>
    <w:rsid w:val="6ABD617F"/>
    <w:rsid w:val="6AC25622"/>
    <w:rsid w:val="6AEC3960"/>
    <w:rsid w:val="6B57195A"/>
    <w:rsid w:val="6B8320C0"/>
    <w:rsid w:val="6BD154CC"/>
    <w:rsid w:val="6C7E68C2"/>
    <w:rsid w:val="6CC92D08"/>
    <w:rsid w:val="6E071562"/>
    <w:rsid w:val="6E974FB5"/>
    <w:rsid w:val="6F083740"/>
    <w:rsid w:val="6F3E29BA"/>
    <w:rsid w:val="706202C3"/>
    <w:rsid w:val="70904B27"/>
    <w:rsid w:val="70911F78"/>
    <w:rsid w:val="70C31D6B"/>
    <w:rsid w:val="70F74CDB"/>
    <w:rsid w:val="71904B0C"/>
    <w:rsid w:val="71C73801"/>
    <w:rsid w:val="71DE00AC"/>
    <w:rsid w:val="7233601F"/>
    <w:rsid w:val="73BD6329"/>
    <w:rsid w:val="74533F62"/>
    <w:rsid w:val="74891E24"/>
    <w:rsid w:val="75C07D03"/>
    <w:rsid w:val="76C667BC"/>
    <w:rsid w:val="77646FC0"/>
    <w:rsid w:val="776F0CF3"/>
    <w:rsid w:val="78DB67FF"/>
    <w:rsid w:val="79FE79DA"/>
    <w:rsid w:val="7A735C17"/>
    <w:rsid w:val="7A835A05"/>
    <w:rsid w:val="7A887546"/>
    <w:rsid w:val="7AA71D7C"/>
    <w:rsid w:val="7AAD5FEE"/>
    <w:rsid w:val="7BF9402F"/>
    <w:rsid w:val="7C1F2756"/>
    <w:rsid w:val="7CF312BE"/>
    <w:rsid w:val="7D9120E2"/>
    <w:rsid w:val="7E695E0F"/>
    <w:rsid w:val="7E910D86"/>
    <w:rsid w:val="7F826136"/>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paragraph" w:styleId="45">
    <w:name w:val="Body Text First Indent"/>
    <w:basedOn w:val="2"/>
    <w:unhideWhenUsed/>
    <w:qFormat/>
    <w:uiPriority w:val="99"/>
    <w:pPr>
      <w:adjustRightInd w:val="0"/>
      <w:spacing w:line="275" w:lineRule="atLeast"/>
      <w:ind w:firstLine="420"/>
      <w:textAlignment w:val="baseline"/>
    </w:pPr>
    <w:rPr>
      <w:rFonts w:ascii="宋体" w:eastAsia="楷体_GB2312"/>
      <w:sz w:val="24"/>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0"/>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Char4"/>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Char2"/>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Char2"/>
    <w:link w:val="5"/>
    <w:qFormat/>
    <w:uiPriority w:val="0"/>
    <w:rPr>
      <w:rFonts w:eastAsia="宋体"/>
      <w:b/>
      <w:bCs/>
      <w:kern w:val="2"/>
      <w:sz w:val="32"/>
      <w:szCs w:val="32"/>
      <w:lang w:val="en-US" w:eastAsia="zh-CN" w:bidi="ar-SA"/>
    </w:rPr>
  </w:style>
  <w:style w:type="character" w:customStyle="1" w:styleId="194">
    <w:name w:val="标题 2 Char2"/>
    <w:link w:val="4"/>
    <w:qFormat/>
    <w:uiPriority w:val="0"/>
    <w:rPr>
      <w:rFonts w:ascii="Cambria" w:hAnsi="Cambria" w:eastAsia="宋体"/>
      <w:b/>
      <w:bCs/>
      <w:kern w:val="2"/>
      <w:sz w:val="32"/>
      <w:szCs w:val="32"/>
      <w:lang w:val="en-US" w:eastAsia="zh-CN" w:bidi="ar-SA"/>
    </w:rPr>
  </w:style>
  <w:style w:type="character" w:customStyle="1" w:styleId="195">
    <w:name w:val="标题 6 Char2"/>
    <w:link w:val="8"/>
    <w:qFormat/>
    <w:uiPriority w:val="0"/>
    <w:rPr>
      <w:rFonts w:hAnsi="Arial" w:eastAsia="仿宋_GB2312"/>
      <w:sz w:val="30"/>
      <w:lang w:val="en-US" w:eastAsia="zh-CN" w:bidi="ar-SA"/>
    </w:rPr>
  </w:style>
  <w:style w:type="character" w:customStyle="1" w:styleId="196">
    <w:name w:val="页脚 Char2"/>
    <w:link w:val="29"/>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Char2"/>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Char2"/>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4"/>
    <w:qFormat/>
    <w:uiPriority w:val="0"/>
    <w:rPr>
      <w:rFonts w:eastAsia="宋体"/>
      <w:b/>
      <w:bCs/>
      <w:kern w:val="2"/>
      <w:sz w:val="21"/>
      <w:szCs w:val="24"/>
      <w:lang w:val="en-US" w:eastAsia="zh-CN" w:bidi="ar-SA"/>
    </w:rPr>
  </w:style>
  <w:style w:type="character" w:customStyle="1" w:styleId="264">
    <w:name w:val="正文文本 2 Char"/>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qFormat/>
    <w:uiPriority w:val="0"/>
    <w:rPr>
      <w:rFonts w:hAnsi="Arial" w:eastAsia="仿宋_GB2312"/>
      <w:sz w:val="30"/>
      <w:lang w:val="en-US" w:eastAsia="zh-CN" w:bidi="ar-SA"/>
    </w:rPr>
  </w:style>
  <w:style w:type="character" w:customStyle="1" w:styleId="268">
    <w:name w:val="正文文本缩进 3 Char3"/>
    <w:link w:val="36"/>
    <w:qFormat/>
    <w:uiPriority w:val="0"/>
    <w:rPr>
      <w:rFonts w:ascii="宋体" w:hAnsi="宋体" w:eastAsia="宋体"/>
      <w:kern w:val="2"/>
      <w:sz w:val="28"/>
      <w:szCs w:val="28"/>
      <w:lang w:val="en-US" w:eastAsia="zh-CN" w:bidi="ar-SA"/>
    </w:rPr>
  </w:style>
  <w:style w:type="character" w:customStyle="1" w:styleId="269">
    <w:name w:val="正文文本缩进 Char3"/>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6"/>
    <w:qFormat/>
    <w:uiPriority w:val="0"/>
    <w:rPr>
      <w:rFonts w:eastAsia="宋体"/>
      <w:sz w:val="28"/>
      <w:szCs w:val="24"/>
      <w:lang w:val="en-US" w:eastAsia="zh-CN" w:bidi="ar-SA"/>
    </w:rPr>
  </w:style>
  <w:style w:type="character" w:customStyle="1" w:styleId="272">
    <w:name w:val="标题 7 Char2"/>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3"/>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Char3"/>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Char3"/>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出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5112\wps2.jpg"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228</Pages>
  <Words>22279</Words>
  <Characters>23658</Characters>
  <Lines>1111</Lines>
  <Paragraphs>312</Paragraphs>
  <TotalTime>52</TotalTime>
  <ScaleCrop>false</ScaleCrop>
  <LinksUpToDate>false</LinksUpToDate>
  <CharactersWithSpaces>25354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2025-02-06T06:23:00Z</dcterms:created>
  <dc:creator>LongY06</dc:creator>
  <cp:lastModifiedBy>朱晓波</cp:lastModifiedBy>
  <cp:lastPrinted>2024-11-26T02:46:00Z</cp:lastPrinted>
  <dcterms:modified xsi:type="dcterms:W3CDTF">2025-04-14T01:43:59Z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D8DBD7FA23BA4DFD9B0D433CF0C35137_13</vt:lpwstr>
  </property>
  <property fmtid="{D5CDD505-2E9C-101B-9397-08002B2CF9AE}" pid="4" name="KSOTemplateDocerSaveRecord">
    <vt:lpwstr>eyJoZGlkIjoiNDQ3ODllMzRlZTZjNzhmYTBjMTQ1MzY2ZTVhYmEyZDAiLCJ1c2VySWQiOiI4NDY5MTQzODkifQ==</vt:lpwstr>
  </property>
</Properties>
</file>